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2C7035C4" w:rsidR="00664435" w:rsidRPr="005507CB" w:rsidRDefault="00AD146A" w:rsidP="00DE429C">
      <w:pPr>
        <w:jc w:val="center"/>
        <w:rPr>
          <w:b/>
          <w:bCs/>
          <w:color w:val="F7A525"/>
          <w:sz w:val="56"/>
          <w:szCs w:val="56"/>
        </w:rPr>
      </w:pPr>
      <w:r>
        <w:rPr>
          <w:b/>
          <w:bCs/>
          <w:color w:val="F7A525"/>
          <w:sz w:val="56"/>
          <w:szCs w:val="56"/>
        </w:rPr>
        <w:t>ATMÓSFERAS EXPLOSIVAS</w:t>
      </w:r>
      <w:r w:rsidR="00DB700E">
        <w:rPr>
          <w:b/>
          <w:bCs/>
          <w:color w:val="F7A525"/>
          <w:sz w:val="56"/>
          <w:szCs w:val="56"/>
        </w:rPr>
        <w:t xml:space="preserve"> - </w:t>
      </w:r>
      <w:r>
        <w:rPr>
          <w:b/>
          <w:bCs/>
          <w:color w:val="F7A525"/>
          <w:sz w:val="56"/>
          <w:szCs w:val="56"/>
        </w:rPr>
        <w:t>ATEX</w:t>
      </w:r>
    </w:p>
    <w:p w14:paraId="39E59525" w14:textId="54D0B017" w:rsidR="00664435" w:rsidRDefault="001C7D1F" w:rsidP="00A7495A">
      <w:pPr>
        <w:jc w:val="center"/>
        <w:rPr>
          <w:b/>
          <w:bCs/>
        </w:rPr>
      </w:pPr>
      <w:r>
        <w:rPr>
          <w:noProof/>
        </w:rPr>
        <w:drawing>
          <wp:inline distT="0" distB="0" distL="0" distR="0" wp14:anchorId="62B4AE86" wp14:editId="3B2174CA">
            <wp:extent cx="4286250" cy="4191000"/>
            <wp:effectExtent l="0" t="0" r="0" b="0"/>
            <wp:docPr id="1154798027" name="Imagen 1" descr="Símbolo de atmósferas explosivas con triángulo amarillo ligeramente redondeado, borde negro, letras EX centradas en negro, fondo circular azul claro, estilo plano, técnico y coherente con icono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ímbolo de atmósferas explosivas con triángulo amarillo ligeramente redondeado, borde negro, letras EX centradas en negro, fondo circular azul claro, estilo plano, técnico y coherente con iconos de seguridad."/>
                    <pic:cNvPicPr>
                      <a:picLocks noChangeAspect="1" noChangeArrowheads="1"/>
                    </pic:cNvPicPr>
                  </pic:nvPicPr>
                  <pic:blipFill rotWithShape="1">
                    <a:blip r:embed="rId9">
                      <a:extLst>
                        <a:ext uri="{28A0092B-C50C-407E-A947-70E740481C1C}">
                          <a14:useLocalDpi xmlns:a14="http://schemas.microsoft.com/office/drawing/2010/main" val="0"/>
                        </a:ext>
                      </a:extLst>
                    </a:blip>
                    <a:srcRect l="10406" t="9525" r="10219" b="12865"/>
                    <a:stretch>
                      <a:fillRect/>
                    </a:stretch>
                  </pic:blipFill>
                  <pic:spPr bwMode="auto">
                    <a:xfrm>
                      <a:off x="0" y="0"/>
                      <a:ext cx="4286250" cy="4191000"/>
                    </a:xfrm>
                    <a:prstGeom prst="rect">
                      <a:avLst/>
                    </a:prstGeom>
                    <a:noFill/>
                    <a:ln>
                      <a:noFill/>
                    </a:ln>
                    <a:extLst>
                      <a:ext uri="{53640926-AAD7-44D8-BBD7-CCE9431645EC}">
                        <a14:shadowObscured xmlns:a14="http://schemas.microsoft.com/office/drawing/2010/main"/>
                      </a:ext>
                    </a:extLst>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4A6C5F79" w14:textId="5FB7F81C" w:rsidR="00EE327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31281232" w:history="1">
            <w:r w:rsidR="00EE327D" w:rsidRPr="00400855">
              <w:rPr>
                <w:rStyle w:val="Hipervnculo"/>
                <w:noProof/>
              </w:rPr>
              <w:t>1.</w:t>
            </w:r>
            <w:r w:rsidR="00EE327D">
              <w:rPr>
                <w:rFonts w:eastAsiaTheme="minorEastAsia"/>
                <w:noProof/>
                <w:sz w:val="24"/>
                <w:szCs w:val="24"/>
                <w:lang w:eastAsia="es-ES"/>
              </w:rPr>
              <w:tab/>
            </w:r>
            <w:r w:rsidR="00EE327D" w:rsidRPr="00400855">
              <w:rPr>
                <w:rStyle w:val="Hipervnculo"/>
                <w:noProof/>
              </w:rPr>
              <w:t>Datos de la empresa</w:t>
            </w:r>
            <w:r w:rsidR="00EE327D">
              <w:rPr>
                <w:noProof/>
                <w:webHidden/>
              </w:rPr>
              <w:tab/>
            </w:r>
            <w:r w:rsidR="00EE327D">
              <w:rPr>
                <w:noProof/>
                <w:webHidden/>
              </w:rPr>
              <w:fldChar w:fldCharType="begin"/>
            </w:r>
            <w:r w:rsidR="00EE327D">
              <w:rPr>
                <w:noProof/>
                <w:webHidden/>
              </w:rPr>
              <w:instrText xml:space="preserve"> PAGEREF _Toc231281232 \h </w:instrText>
            </w:r>
            <w:r w:rsidR="00EE327D">
              <w:rPr>
                <w:noProof/>
                <w:webHidden/>
              </w:rPr>
            </w:r>
            <w:r w:rsidR="00EE327D">
              <w:rPr>
                <w:noProof/>
                <w:webHidden/>
              </w:rPr>
              <w:fldChar w:fldCharType="separate"/>
            </w:r>
            <w:r w:rsidR="00EE327D">
              <w:rPr>
                <w:noProof/>
                <w:webHidden/>
              </w:rPr>
              <w:t>3</w:t>
            </w:r>
            <w:r w:rsidR="00EE327D">
              <w:rPr>
                <w:noProof/>
                <w:webHidden/>
              </w:rPr>
              <w:fldChar w:fldCharType="end"/>
            </w:r>
          </w:hyperlink>
        </w:p>
        <w:p w14:paraId="3A97811F" w14:textId="7D562D4E" w:rsidR="00EE327D" w:rsidRDefault="00EE327D">
          <w:pPr>
            <w:pStyle w:val="TDC1"/>
            <w:tabs>
              <w:tab w:val="left" w:pos="480"/>
              <w:tab w:val="right" w:leader="dot" w:pos="8494"/>
            </w:tabs>
            <w:rPr>
              <w:rFonts w:eastAsiaTheme="minorEastAsia"/>
              <w:noProof/>
              <w:sz w:val="24"/>
              <w:szCs w:val="24"/>
              <w:lang w:eastAsia="es-ES"/>
            </w:rPr>
          </w:pPr>
          <w:hyperlink w:anchor="_Toc231281233" w:history="1">
            <w:r w:rsidRPr="00400855">
              <w:rPr>
                <w:rStyle w:val="Hipervnculo"/>
                <w:noProof/>
              </w:rPr>
              <w:t>2.</w:t>
            </w:r>
            <w:r>
              <w:rPr>
                <w:rFonts w:eastAsiaTheme="minorEastAsia"/>
                <w:noProof/>
                <w:sz w:val="24"/>
                <w:szCs w:val="24"/>
                <w:lang w:eastAsia="es-ES"/>
              </w:rPr>
              <w:tab/>
            </w:r>
            <w:r w:rsidRPr="00400855">
              <w:rPr>
                <w:rStyle w:val="Hipervnculo"/>
                <w:noProof/>
              </w:rPr>
              <w:t>Introducción</w:t>
            </w:r>
            <w:r>
              <w:rPr>
                <w:noProof/>
                <w:webHidden/>
              </w:rPr>
              <w:tab/>
            </w:r>
            <w:r>
              <w:rPr>
                <w:noProof/>
                <w:webHidden/>
              </w:rPr>
              <w:fldChar w:fldCharType="begin"/>
            </w:r>
            <w:r>
              <w:rPr>
                <w:noProof/>
                <w:webHidden/>
              </w:rPr>
              <w:instrText xml:space="preserve"> PAGEREF _Toc231281233 \h </w:instrText>
            </w:r>
            <w:r>
              <w:rPr>
                <w:noProof/>
                <w:webHidden/>
              </w:rPr>
            </w:r>
            <w:r>
              <w:rPr>
                <w:noProof/>
                <w:webHidden/>
              </w:rPr>
              <w:fldChar w:fldCharType="separate"/>
            </w:r>
            <w:r>
              <w:rPr>
                <w:noProof/>
                <w:webHidden/>
              </w:rPr>
              <w:t>3</w:t>
            </w:r>
            <w:r>
              <w:rPr>
                <w:noProof/>
                <w:webHidden/>
              </w:rPr>
              <w:fldChar w:fldCharType="end"/>
            </w:r>
          </w:hyperlink>
        </w:p>
        <w:p w14:paraId="6141513C" w14:textId="37808BDD" w:rsidR="00EE327D" w:rsidRDefault="00EE327D">
          <w:pPr>
            <w:pStyle w:val="TDC1"/>
            <w:tabs>
              <w:tab w:val="left" w:pos="480"/>
              <w:tab w:val="right" w:leader="dot" w:pos="8494"/>
            </w:tabs>
            <w:rPr>
              <w:rFonts w:eastAsiaTheme="minorEastAsia"/>
              <w:noProof/>
              <w:sz w:val="24"/>
              <w:szCs w:val="24"/>
              <w:lang w:eastAsia="es-ES"/>
            </w:rPr>
          </w:pPr>
          <w:hyperlink w:anchor="_Toc231281234" w:history="1">
            <w:r w:rsidRPr="00400855">
              <w:rPr>
                <w:rStyle w:val="Hipervnculo"/>
                <w:noProof/>
              </w:rPr>
              <w:t>3.</w:t>
            </w:r>
            <w:r>
              <w:rPr>
                <w:rFonts w:eastAsiaTheme="minorEastAsia"/>
                <w:noProof/>
                <w:sz w:val="24"/>
                <w:szCs w:val="24"/>
                <w:lang w:eastAsia="es-ES"/>
              </w:rPr>
              <w:tab/>
            </w:r>
            <w:r w:rsidRPr="00400855">
              <w:rPr>
                <w:rStyle w:val="Hipervnculo"/>
                <w:noProof/>
              </w:rPr>
              <w:t>Objetivos</w:t>
            </w:r>
            <w:r>
              <w:rPr>
                <w:noProof/>
                <w:webHidden/>
              </w:rPr>
              <w:tab/>
            </w:r>
            <w:r>
              <w:rPr>
                <w:noProof/>
                <w:webHidden/>
              </w:rPr>
              <w:fldChar w:fldCharType="begin"/>
            </w:r>
            <w:r>
              <w:rPr>
                <w:noProof/>
                <w:webHidden/>
              </w:rPr>
              <w:instrText xml:space="preserve"> PAGEREF _Toc231281234 \h </w:instrText>
            </w:r>
            <w:r>
              <w:rPr>
                <w:noProof/>
                <w:webHidden/>
              </w:rPr>
            </w:r>
            <w:r>
              <w:rPr>
                <w:noProof/>
                <w:webHidden/>
              </w:rPr>
              <w:fldChar w:fldCharType="separate"/>
            </w:r>
            <w:r>
              <w:rPr>
                <w:noProof/>
                <w:webHidden/>
              </w:rPr>
              <w:t>4</w:t>
            </w:r>
            <w:r>
              <w:rPr>
                <w:noProof/>
                <w:webHidden/>
              </w:rPr>
              <w:fldChar w:fldCharType="end"/>
            </w:r>
          </w:hyperlink>
        </w:p>
        <w:p w14:paraId="21D655DF" w14:textId="7CF89A1B" w:rsidR="00EE327D" w:rsidRDefault="00EE327D">
          <w:pPr>
            <w:pStyle w:val="TDC1"/>
            <w:tabs>
              <w:tab w:val="left" w:pos="480"/>
              <w:tab w:val="right" w:leader="dot" w:pos="8494"/>
            </w:tabs>
            <w:rPr>
              <w:rFonts w:eastAsiaTheme="minorEastAsia"/>
              <w:noProof/>
              <w:sz w:val="24"/>
              <w:szCs w:val="24"/>
              <w:lang w:eastAsia="es-ES"/>
            </w:rPr>
          </w:pPr>
          <w:hyperlink w:anchor="_Toc231281235" w:history="1">
            <w:r w:rsidRPr="00400855">
              <w:rPr>
                <w:rStyle w:val="Hipervnculo"/>
                <w:noProof/>
              </w:rPr>
              <w:t>4.</w:t>
            </w:r>
            <w:r>
              <w:rPr>
                <w:rFonts w:eastAsiaTheme="minorEastAsia"/>
                <w:noProof/>
                <w:sz w:val="24"/>
                <w:szCs w:val="24"/>
                <w:lang w:eastAsia="es-ES"/>
              </w:rPr>
              <w:tab/>
            </w:r>
            <w:r w:rsidRPr="00400855">
              <w:rPr>
                <w:rStyle w:val="Hipervnculo"/>
                <w:noProof/>
              </w:rPr>
              <w:t>Metodología</w:t>
            </w:r>
            <w:r>
              <w:rPr>
                <w:noProof/>
                <w:webHidden/>
              </w:rPr>
              <w:tab/>
            </w:r>
            <w:r>
              <w:rPr>
                <w:noProof/>
                <w:webHidden/>
              </w:rPr>
              <w:fldChar w:fldCharType="begin"/>
            </w:r>
            <w:r>
              <w:rPr>
                <w:noProof/>
                <w:webHidden/>
              </w:rPr>
              <w:instrText xml:space="preserve"> PAGEREF _Toc231281235 \h </w:instrText>
            </w:r>
            <w:r>
              <w:rPr>
                <w:noProof/>
                <w:webHidden/>
              </w:rPr>
            </w:r>
            <w:r>
              <w:rPr>
                <w:noProof/>
                <w:webHidden/>
              </w:rPr>
              <w:fldChar w:fldCharType="separate"/>
            </w:r>
            <w:r>
              <w:rPr>
                <w:noProof/>
                <w:webHidden/>
              </w:rPr>
              <w:t>4</w:t>
            </w:r>
            <w:r>
              <w:rPr>
                <w:noProof/>
                <w:webHidden/>
              </w:rPr>
              <w:fldChar w:fldCharType="end"/>
            </w:r>
          </w:hyperlink>
        </w:p>
        <w:p w14:paraId="36A91525" w14:textId="03FE2C77" w:rsidR="00EE327D" w:rsidRDefault="00EE327D">
          <w:pPr>
            <w:pStyle w:val="TDC1"/>
            <w:tabs>
              <w:tab w:val="left" w:pos="480"/>
              <w:tab w:val="right" w:leader="dot" w:pos="8494"/>
            </w:tabs>
            <w:rPr>
              <w:rFonts w:eastAsiaTheme="minorEastAsia"/>
              <w:noProof/>
              <w:sz w:val="24"/>
              <w:szCs w:val="24"/>
              <w:lang w:eastAsia="es-ES"/>
            </w:rPr>
          </w:pPr>
          <w:hyperlink w:anchor="_Toc231281236" w:history="1">
            <w:r w:rsidRPr="00400855">
              <w:rPr>
                <w:rStyle w:val="Hipervnculo"/>
                <w:noProof/>
              </w:rPr>
              <w:t>5.</w:t>
            </w:r>
            <w:r>
              <w:rPr>
                <w:rFonts w:eastAsiaTheme="minorEastAsia"/>
                <w:noProof/>
                <w:sz w:val="24"/>
                <w:szCs w:val="24"/>
                <w:lang w:eastAsia="es-ES"/>
              </w:rPr>
              <w:tab/>
            </w:r>
            <w:r w:rsidRPr="00400855">
              <w:rPr>
                <w:rStyle w:val="Hipervnculo"/>
                <w:noProof/>
              </w:rPr>
              <w:t>Alcance</w:t>
            </w:r>
            <w:r>
              <w:rPr>
                <w:noProof/>
                <w:webHidden/>
              </w:rPr>
              <w:tab/>
            </w:r>
            <w:r>
              <w:rPr>
                <w:noProof/>
                <w:webHidden/>
              </w:rPr>
              <w:fldChar w:fldCharType="begin"/>
            </w:r>
            <w:r>
              <w:rPr>
                <w:noProof/>
                <w:webHidden/>
              </w:rPr>
              <w:instrText xml:space="preserve"> PAGEREF _Toc231281236 \h </w:instrText>
            </w:r>
            <w:r>
              <w:rPr>
                <w:noProof/>
                <w:webHidden/>
              </w:rPr>
            </w:r>
            <w:r>
              <w:rPr>
                <w:noProof/>
                <w:webHidden/>
              </w:rPr>
              <w:fldChar w:fldCharType="separate"/>
            </w:r>
            <w:r>
              <w:rPr>
                <w:noProof/>
                <w:webHidden/>
              </w:rPr>
              <w:t>5</w:t>
            </w:r>
            <w:r>
              <w:rPr>
                <w:noProof/>
                <w:webHidden/>
              </w:rPr>
              <w:fldChar w:fldCharType="end"/>
            </w:r>
          </w:hyperlink>
        </w:p>
        <w:p w14:paraId="0F9CEAB6" w14:textId="1B0E7ED5" w:rsidR="00EE327D" w:rsidRDefault="00EE327D">
          <w:pPr>
            <w:pStyle w:val="TDC1"/>
            <w:tabs>
              <w:tab w:val="left" w:pos="480"/>
              <w:tab w:val="right" w:leader="dot" w:pos="8494"/>
            </w:tabs>
            <w:rPr>
              <w:rFonts w:eastAsiaTheme="minorEastAsia"/>
              <w:noProof/>
              <w:sz w:val="24"/>
              <w:szCs w:val="24"/>
              <w:lang w:eastAsia="es-ES"/>
            </w:rPr>
          </w:pPr>
          <w:hyperlink w:anchor="_Toc231281237" w:history="1">
            <w:r w:rsidRPr="00400855">
              <w:rPr>
                <w:rStyle w:val="Hipervnculo"/>
                <w:noProof/>
              </w:rPr>
              <w:t>6.</w:t>
            </w:r>
            <w:r>
              <w:rPr>
                <w:rFonts w:eastAsiaTheme="minorEastAsia"/>
                <w:noProof/>
                <w:sz w:val="24"/>
                <w:szCs w:val="24"/>
                <w:lang w:eastAsia="es-ES"/>
              </w:rPr>
              <w:tab/>
            </w:r>
            <w:r w:rsidRPr="00400855">
              <w:rPr>
                <w:rStyle w:val="Hipervnculo"/>
                <w:noProof/>
              </w:rPr>
              <w:t>Normativa nacional de aplicación</w:t>
            </w:r>
            <w:r>
              <w:rPr>
                <w:noProof/>
                <w:webHidden/>
              </w:rPr>
              <w:tab/>
            </w:r>
            <w:r>
              <w:rPr>
                <w:noProof/>
                <w:webHidden/>
              </w:rPr>
              <w:fldChar w:fldCharType="begin"/>
            </w:r>
            <w:r>
              <w:rPr>
                <w:noProof/>
                <w:webHidden/>
              </w:rPr>
              <w:instrText xml:space="preserve"> PAGEREF _Toc231281237 \h </w:instrText>
            </w:r>
            <w:r>
              <w:rPr>
                <w:noProof/>
                <w:webHidden/>
              </w:rPr>
            </w:r>
            <w:r>
              <w:rPr>
                <w:noProof/>
                <w:webHidden/>
              </w:rPr>
              <w:fldChar w:fldCharType="separate"/>
            </w:r>
            <w:r>
              <w:rPr>
                <w:noProof/>
                <w:webHidden/>
              </w:rPr>
              <w:t>5</w:t>
            </w:r>
            <w:r>
              <w:rPr>
                <w:noProof/>
                <w:webHidden/>
              </w:rPr>
              <w:fldChar w:fldCharType="end"/>
            </w:r>
          </w:hyperlink>
        </w:p>
        <w:p w14:paraId="11E4F96C" w14:textId="102C357B" w:rsidR="00EE327D" w:rsidRDefault="00EE327D">
          <w:pPr>
            <w:pStyle w:val="TDC1"/>
            <w:tabs>
              <w:tab w:val="left" w:pos="480"/>
              <w:tab w:val="right" w:leader="dot" w:pos="8494"/>
            </w:tabs>
            <w:rPr>
              <w:rFonts w:eastAsiaTheme="minorEastAsia"/>
              <w:noProof/>
              <w:sz w:val="24"/>
              <w:szCs w:val="24"/>
              <w:lang w:eastAsia="es-ES"/>
            </w:rPr>
          </w:pPr>
          <w:hyperlink w:anchor="_Toc231281238" w:history="1">
            <w:r w:rsidRPr="00400855">
              <w:rPr>
                <w:rStyle w:val="Hipervnculo"/>
                <w:noProof/>
              </w:rPr>
              <w:t>7.</w:t>
            </w:r>
            <w:r>
              <w:rPr>
                <w:rFonts w:eastAsiaTheme="minorEastAsia"/>
                <w:noProof/>
                <w:sz w:val="24"/>
                <w:szCs w:val="24"/>
                <w:lang w:eastAsia="es-ES"/>
              </w:rPr>
              <w:tab/>
            </w:r>
            <w:r w:rsidRPr="00400855">
              <w:rPr>
                <w:rStyle w:val="Hipervnculo"/>
                <w:noProof/>
              </w:rPr>
              <w:t>Cuestionario</w:t>
            </w:r>
            <w:r>
              <w:rPr>
                <w:noProof/>
                <w:webHidden/>
              </w:rPr>
              <w:tab/>
            </w:r>
            <w:r>
              <w:rPr>
                <w:noProof/>
                <w:webHidden/>
              </w:rPr>
              <w:fldChar w:fldCharType="begin"/>
            </w:r>
            <w:r>
              <w:rPr>
                <w:noProof/>
                <w:webHidden/>
              </w:rPr>
              <w:instrText xml:space="preserve"> PAGEREF _Toc231281238 \h </w:instrText>
            </w:r>
            <w:r>
              <w:rPr>
                <w:noProof/>
                <w:webHidden/>
              </w:rPr>
            </w:r>
            <w:r>
              <w:rPr>
                <w:noProof/>
                <w:webHidden/>
              </w:rPr>
              <w:fldChar w:fldCharType="separate"/>
            </w:r>
            <w:r>
              <w:rPr>
                <w:noProof/>
                <w:webHidden/>
              </w:rPr>
              <w:t>5</w:t>
            </w:r>
            <w:r>
              <w:rPr>
                <w:noProof/>
                <w:webHidden/>
              </w:rPr>
              <w:fldChar w:fldCharType="end"/>
            </w:r>
          </w:hyperlink>
        </w:p>
        <w:p w14:paraId="18416BA5" w14:textId="74FD10CC" w:rsidR="00EE327D" w:rsidRDefault="00EE327D">
          <w:pPr>
            <w:pStyle w:val="TDC1"/>
            <w:tabs>
              <w:tab w:val="left" w:pos="480"/>
              <w:tab w:val="right" w:leader="dot" w:pos="8494"/>
            </w:tabs>
            <w:rPr>
              <w:rFonts w:eastAsiaTheme="minorEastAsia"/>
              <w:noProof/>
              <w:sz w:val="24"/>
              <w:szCs w:val="24"/>
              <w:lang w:eastAsia="es-ES"/>
            </w:rPr>
          </w:pPr>
          <w:hyperlink w:anchor="_Toc231281239" w:history="1">
            <w:r w:rsidRPr="00400855">
              <w:rPr>
                <w:rStyle w:val="Hipervnculo"/>
                <w:noProof/>
              </w:rPr>
              <w:t>8.</w:t>
            </w:r>
            <w:r>
              <w:rPr>
                <w:rFonts w:eastAsiaTheme="minorEastAsia"/>
                <w:noProof/>
                <w:sz w:val="24"/>
                <w:szCs w:val="24"/>
                <w:lang w:eastAsia="es-ES"/>
              </w:rPr>
              <w:tab/>
            </w:r>
            <w:r w:rsidRPr="00400855">
              <w:rPr>
                <w:rStyle w:val="Hipervnculo"/>
                <w:noProof/>
              </w:rPr>
              <w:t>Resultados</w:t>
            </w:r>
            <w:r>
              <w:rPr>
                <w:noProof/>
                <w:webHidden/>
              </w:rPr>
              <w:tab/>
            </w:r>
            <w:r>
              <w:rPr>
                <w:noProof/>
                <w:webHidden/>
              </w:rPr>
              <w:fldChar w:fldCharType="begin"/>
            </w:r>
            <w:r>
              <w:rPr>
                <w:noProof/>
                <w:webHidden/>
              </w:rPr>
              <w:instrText xml:space="preserve"> PAGEREF _Toc231281239 \h </w:instrText>
            </w:r>
            <w:r>
              <w:rPr>
                <w:noProof/>
                <w:webHidden/>
              </w:rPr>
            </w:r>
            <w:r>
              <w:rPr>
                <w:noProof/>
                <w:webHidden/>
              </w:rPr>
              <w:fldChar w:fldCharType="separate"/>
            </w:r>
            <w:r>
              <w:rPr>
                <w:noProof/>
                <w:webHidden/>
              </w:rPr>
              <w:t>6</w:t>
            </w:r>
            <w:r>
              <w:rPr>
                <w:noProof/>
                <w:webHidden/>
              </w:rPr>
              <w:fldChar w:fldCharType="end"/>
            </w:r>
          </w:hyperlink>
        </w:p>
        <w:p w14:paraId="20CB5064" w14:textId="0F3A5E56" w:rsidR="00EE327D" w:rsidRDefault="00EE327D">
          <w:pPr>
            <w:pStyle w:val="TDC2"/>
            <w:tabs>
              <w:tab w:val="left" w:pos="960"/>
              <w:tab w:val="right" w:leader="dot" w:pos="8494"/>
            </w:tabs>
            <w:rPr>
              <w:rFonts w:eastAsiaTheme="minorEastAsia"/>
              <w:noProof/>
              <w:sz w:val="24"/>
              <w:szCs w:val="24"/>
              <w:lang w:eastAsia="es-ES"/>
            </w:rPr>
          </w:pPr>
          <w:hyperlink w:anchor="_Toc231281240" w:history="1">
            <w:r w:rsidRPr="00400855">
              <w:rPr>
                <w:rStyle w:val="Hipervnculo"/>
                <w:noProof/>
              </w:rPr>
              <w:t>8.1.</w:t>
            </w:r>
            <w:r>
              <w:rPr>
                <w:rFonts w:eastAsiaTheme="minorEastAsia"/>
                <w:noProof/>
                <w:sz w:val="24"/>
                <w:szCs w:val="24"/>
                <w:lang w:eastAsia="es-ES"/>
              </w:rPr>
              <w:tab/>
            </w:r>
            <w:r w:rsidRPr="00400855">
              <w:rPr>
                <w:rStyle w:val="Hipervnculo"/>
                <w:noProof/>
              </w:rPr>
              <w:t>Ítems que se cumplen parcialmente</w:t>
            </w:r>
            <w:r>
              <w:rPr>
                <w:noProof/>
                <w:webHidden/>
              </w:rPr>
              <w:tab/>
            </w:r>
            <w:r>
              <w:rPr>
                <w:noProof/>
                <w:webHidden/>
              </w:rPr>
              <w:fldChar w:fldCharType="begin"/>
            </w:r>
            <w:r>
              <w:rPr>
                <w:noProof/>
                <w:webHidden/>
              </w:rPr>
              <w:instrText xml:space="preserve"> PAGEREF _Toc231281240 \h </w:instrText>
            </w:r>
            <w:r>
              <w:rPr>
                <w:noProof/>
                <w:webHidden/>
              </w:rPr>
            </w:r>
            <w:r>
              <w:rPr>
                <w:noProof/>
                <w:webHidden/>
              </w:rPr>
              <w:fldChar w:fldCharType="separate"/>
            </w:r>
            <w:r>
              <w:rPr>
                <w:noProof/>
                <w:webHidden/>
              </w:rPr>
              <w:t>7</w:t>
            </w:r>
            <w:r>
              <w:rPr>
                <w:noProof/>
                <w:webHidden/>
              </w:rPr>
              <w:fldChar w:fldCharType="end"/>
            </w:r>
          </w:hyperlink>
        </w:p>
        <w:p w14:paraId="32D7CFB1" w14:textId="6D87554C" w:rsidR="00EE327D" w:rsidRDefault="00EE327D">
          <w:pPr>
            <w:pStyle w:val="TDC2"/>
            <w:tabs>
              <w:tab w:val="left" w:pos="960"/>
              <w:tab w:val="right" w:leader="dot" w:pos="8494"/>
            </w:tabs>
            <w:rPr>
              <w:rFonts w:eastAsiaTheme="minorEastAsia"/>
              <w:noProof/>
              <w:sz w:val="24"/>
              <w:szCs w:val="24"/>
              <w:lang w:eastAsia="es-ES"/>
            </w:rPr>
          </w:pPr>
          <w:hyperlink w:anchor="_Toc231281241" w:history="1">
            <w:r w:rsidRPr="00400855">
              <w:rPr>
                <w:rStyle w:val="Hipervnculo"/>
                <w:noProof/>
              </w:rPr>
              <w:t>8.2.</w:t>
            </w:r>
            <w:r>
              <w:rPr>
                <w:rFonts w:eastAsiaTheme="minorEastAsia"/>
                <w:noProof/>
                <w:sz w:val="24"/>
                <w:szCs w:val="24"/>
                <w:lang w:eastAsia="es-ES"/>
              </w:rPr>
              <w:tab/>
            </w:r>
            <w:r w:rsidRPr="00400855">
              <w:rPr>
                <w:rStyle w:val="Hipervnculo"/>
                <w:noProof/>
              </w:rPr>
              <w:t>Ítems que no se cumplen</w:t>
            </w:r>
            <w:r>
              <w:rPr>
                <w:noProof/>
                <w:webHidden/>
              </w:rPr>
              <w:tab/>
            </w:r>
            <w:r>
              <w:rPr>
                <w:noProof/>
                <w:webHidden/>
              </w:rPr>
              <w:fldChar w:fldCharType="begin"/>
            </w:r>
            <w:r>
              <w:rPr>
                <w:noProof/>
                <w:webHidden/>
              </w:rPr>
              <w:instrText xml:space="preserve"> PAGEREF _Toc231281241 \h </w:instrText>
            </w:r>
            <w:r>
              <w:rPr>
                <w:noProof/>
                <w:webHidden/>
              </w:rPr>
            </w:r>
            <w:r>
              <w:rPr>
                <w:noProof/>
                <w:webHidden/>
              </w:rPr>
              <w:fldChar w:fldCharType="separate"/>
            </w:r>
            <w:r>
              <w:rPr>
                <w:noProof/>
                <w:webHidden/>
              </w:rPr>
              <w:t>7</w:t>
            </w:r>
            <w:r>
              <w:rPr>
                <w:noProof/>
                <w:webHidden/>
              </w:rPr>
              <w:fldChar w:fldCharType="end"/>
            </w:r>
          </w:hyperlink>
        </w:p>
        <w:p w14:paraId="1C477818" w14:textId="658613B1" w:rsidR="00EE327D" w:rsidRDefault="00EE327D">
          <w:pPr>
            <w:pStyle w:val="TDC1"/>
            <w:tabs>
              <w:tab w:val="left" w:pos="480"/>
              <w:tab w:val="right" w:leader="dot" w:pos="8494"/>
            </w:tabs>
            <w:rPr>
              <w:rFonts w:eastAsiaTheme="minorEastAsia"/>
              <w:noProof/>
              <w:sz w:val="24"/>
              <w:szCs w:val="24"/>
              <w:lang w:eastAsia="es-ES"/>
            </w:rPr>
          </w:pPr>
          <w:hyperlink w:anchor="_Toc231281242" w:history="1">
            <w:r w:rsidRPr="00400855">
              <w:rPr>
                <w:rStyle w:val="Hipervnculo"/>
                <w:noProof/>
              </w:rPr>
              <w:t>9.</w:t>
            </w:r>
            <w:r>
              <w:rPr>
                <w:rFonts w:eastAsiaTheme="minorEastAsia"/>
                <w:noProof/>
                <w:sz w:val="24"/>
                <w:szCs w:val="24"/>
                <w:lang w:eastAsia="es-ES"/>
              </w:rPr>
              <w:tab/>
            </w:r>
            <w:r w:rsidRPr="00400855">
              <w:rPr>
                <w:rStyle w:val="Hipervnculo"/>
                <w:noProof/>
              </w:rPr>
              <w:t>Conclusiones</w:t>
            </w:r>
            <w:r>
              <w:rPr>
                <w:noProof/>
                <w:webHidden/>
              </w:rPr>
              <w:tab/>
            </w:r>
            <w:r>
              <w:rPr>
                <w:noProof/>
                <w:webHidden/>
              </w:rPr>
              <w:fldChar w:fldCharType="begin"/>
            </w:r>
            <w:r>
              <w:rPr>
                <w:noProof/>
                <w:webHidden/>
              </w:rPr>
              <w:instrText xml:space="preserve"> PAGEREF _Toc231281242 \h </w:instrText>
            </w:r>
            <w:r>
              <w:rPr>
                <w:noProof/>
                <w:webHidden/>
              </w:rPr>
            </w:r>
            <w:r>
              <w:rPr>
                <w:noProof/>
                <w:webHidden/>
              </w:rPr>
              <w:fldChar w:fldCharType="separate"/>
            </w:r>
            <w:r>
              <w:rPr>
                <w:noProof/>
                <w:webHidden/>
              </w:rPr>
              <w:t>7</w:t>
            </w:r>
            <w:r>
              <w:rPr>
                <w:noProof/>
                <w:webHidden/>
              </w:rPr>
              <w:fldChar w:fldCharType="end"/>
            </w:r>
          </w:hyperlink>
        </w:p>
        <w:p w14:paraId="7CD6EC6F" w14:textId="3019FFAF" w:rsidR="00EE327D" w:rsidRDefault="00EE327D">
          <w:pPr>
            <w:pStyle w:val="TDC1"/>
            <w:tabs>
              <w:tab w:val="left" w:pos="720"/>
              <w:tab w:val="right" w:leader="dot" w:pos="8494"/>
            </w:tabs>
            <w:rPr>
              <w:rFonts w:eastAsiaTheme="minorEastAsia"/>
              <w:noProof/>
              <w:sz w:val="24"/>
              <w:szCs w:val="24"/>
              <w:lang w:eastAsia="es-ES"/>
            </w:rPr>
          </w:pPr>
          <w:hyperlink w:anchor="_Toc231281243" w:history="1">
            <w:r w:rsidRPr="00400855">
              <w:rPr>
                <w:rStyle w:val="Hipervnculo"/>
                <w:noProof/>
              </w:rPr>
              <w:t>10.</w:t>
            </w:r>
            <w:r>
              <w:rPr>
                <w:rFonts w:eastAsiaTheme="minorEastAsia"/>
                <w:noProof/>
                <w:sz w:val="24"/>
                <w:szCs w:val="24"/>
                <w:lang w:eastAsia="es-ES"/>
              </w:rPr>
              <w:tab/>
            </w:r>
            <w:r w:rsidRPr="00400855">
              <w:rPr>
                <w:rStyle w:val="Hipervnculo"/>
                <w:noProof/>
              </w:rPr>
              <w:t>Referencias de apoyo</w:t>
            </w:r>
            <w:r>
              <w:rPr>
                <w:noProof/>
                <w:webHidden/>
              </w:rPr>
              <w:tab/>
            </w:r>
            <w:r>
              <w:rPr>
                <w:noProof/>
                <w:webHidden/>
              </w:rPr>
              <w:fldChar w:fldCharType="begin"/>
            </w:r>
            <w:r>
              <w:rPr>
                <w:noProof/>
                <w:webHidden/>
              </w:rPr>
              <w:instrText xml:space="preserve"> PAGEREF _Toc231281243 \h </w:instrText>
            </w:r>
            <w:r>
              <w:rPr>
                <w:noProof/>
                <w:webHidden/>
              </w:rPr>
            </w:r>
            <w:r>
              <w:rPr>
                <w:noProof/>
                <w:webHidden/>
              </w:rPr>
              <w:fldChar w:fldCharType="separate"/>
            </w:r>
            <w:r>
              <w:rPr>
                <w:noProof/>
                <w:webHidden/>
              </w:rPr>
              <w:t>8</w:t>
            </w:r>
            <w:r>
              <w:rPr>
                <w:noProof/>
                <w:webHidden/>
              </w:rPr>
              <w:fldChar w:fldCharType="end"/>
            </w:r>
          </w:hyperlink>
        </w:p>
        <w:p w14:paraId="5C39559C" w14:textId="7799C28B" w:rsidR="00EE327D" w:rsidRDefault="00EE327D">
          <w:pPr>
            <w:pStyle w:val="TDC1"/>
            <w:tabs>
              <w:tab w:val="right" w:leader="dot" w:pos="8494"/>
            </w:tabs>
            <w:rPr>
              <w:rFonts w:eastAsiaTheme="minorEastAsia"/>
              <w:noProof/>
              <w:sz w:val="24"/>
              <w:szCs w:val="24"/>
              <w:lang w:eastAsia="es-ES"/>
            </w:rPr>
          </w:pPr>
          <w:hyperlink w:anchor="_Toc231281244" w:history="1">
            <w:r w:rsidRPr="00400855">
              <w:rPr>
                <w:rStyle w:val="Hipervnculo"/>
                <w:noProof/>
              </w:rPr>
              <w:t>Recuerde</w:t>
            </w:r>
            <w:r>
              <w:rPr>
                <w:noProof/>
                <w:webHidden/>
              </w:rPr>
              <w:tab/>
            </w:r>
            <w:r>
              <w:rPr>
                <w:noProof/>
                <w:webHidden/>
              </w:rPr>
              <w:fldChar w:fldCharType="begin"/>
            </w:r>
            <w:r>
              <w:rPr>
                <w:noProof/>
                <w:webHidden/>
              </w:rPr>
              <w:instrText xml:space="preserve"> PAGEREF _Toc231281244 \h </w:instrText>
            </w:r>
            <w:r>
              <w:rPr>
                <w:noProof/>
                <w:webHidden/>
              </w:rPr>
            </w:r>
            <w:r>
              <w:rPr>
                <w:noProof/>
                <w:webHidden/>
              </w:rPr>
              <w:fldChar w:fldCharType="separate"/>
            </w:r>
            <w:r>
              <w:rPr>
                <w:noProof/>
                <w:webHidden/>
              </w:rPr>
              <w:t>8</w:t>
            </w:r>
            <w:r>
              <w:rPr>
                <w:noProof/>
                <w:webHidden/>
              </w:rPr>
              <w:fldChar w:fldCharType="end"/>
            </w:r>
          </w:hyperlink>
        </w:p>
        <w:p w14:paraId="1A54E0BB" w14:textId="1E96221B"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31281232"/>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31281233"/>
      <w:r>
        <w:t>Introducción</w:t>
      </w:r>
      <w:bookmarkEnd w:id="1"/>
    </w:p>
    <w:p w14:paraId="725FB496" w14:textId="14D82A4E" w:rsidR="001C31B2" w:rsidRPr="001C31B2" w:rsidRDefault="001C31B2" w:rsidP="001C31B2">
      <w:r w:rsidRPr="001C31B2">
        <w:t>La presencia de atmósferas explosivas en el entorno laboral constituye un riesgo de especial gravedad, ya que puede dar lugar a incendios, explosiones y daños significativos para la seguridad y salud de las personas trabajadoras, así como para las instalaciones, equipos y procesos productivos.</w:t>
      </w:r>
    </w:p>
    <w:p w14:paraId="5C9FC0B9" w14:textId="77777777" w:rsidR="001C31B2" w:rsidRPr="001C31B2" w:rsidRDefault="001C31B2" w:rsidP="001C31B2">
      <w:r w:rsidRPr="001C31B2">
        <w:t>Una atmósfera explosiva puede formarse cuando se mezclan con el aire sustancias inflamables en forma de gases, vapores, nieblas o polvos combustibles, en condiciones en las que, tras una ignición, la combustión se propaga al conjunto de la mezcla no quemada. Este riesgo puede estar presente en actividades industriales, almacenamiento y trasvase de productos inflamables, trabajos con disolventes, cabinas de pintura, silos, carpinterías, procesos con polvo combustible, instalaciones de gases, zonas de carga de baterías, estaciones de servicio u otros procesos en los que puedan generarse mezclas explosivas.</w:t>
      </w:r>
    </w:p>
    <w:p w14:paraId="77B15823" w14:textId="77777777" w:rsidR="001C31B2" w:rsidRPr="001C31B2" w:rsidRDefault="001C31B2" w:rsidP="001C31B2">
      <w:r w:rsidRPr="001C31B2">
        <w:t>En el marco de la prevención de riesgos laborales, la gestión de las atmósferas explosivas debe abordarse de forma específica, priorizando la prevención de su formación y, cuando esto no sea posible, evitando la presencia de fuentes de ignición eficaces. Para ello, la empresa debe identificar las sustancias y procesos que puedan generar atmósferas explosivas, evaluar los riesgos, clasificar las zonas, adoptar medidas técnicas y organizativas, seleccionar equipos adecuados y establecer procedimientos seguros de trabajo, mantenimiento, limpieza, control de accesos y actuación ante emergencias.</w:t>
      </w:r>
    </w:p>
    <w:p w14:paraId="698F3C3C" w14:textId="77777777" w:rsidR="001C31B2" w:rsidRPr="001C31B2" w:rsidRDefault="001C31B2" w:rsidP="001C31B2">
      <w:r w:rsidRPr="001C31B2">
        <w:t>El presente informe se integra dentro de una herramienta de autodiagnóstico en materia de prevención de riesgos laborales, orientada a que las empresas puedan evaluar de forma estructurada su grado de cumplimiento y madurez preventiva en relación con la prevención y protección frente a atmósferas explosivas.</w:t>
      </w:r>
    </w:p>
    <w:p w14:paraId="3706BE03" w14:textId="77777777" w:rsidR="001C31B2" w:rsidRPr="001C31B2" w:rsidRDefault="001C31B2" w:rsidP="001C31B2">
      <w:r w:rsidRPr="001C31B2">
        <w:t>Para ello, se propone un cuestionario de autochequeo que permite identificar puntos fuertes, deficiencias, necesidades de mejora y posibles incumplimientos relacionados con la identificación de sustancias inflamables o combustibles, evaluación del riesgo de explosión, clasificación de zonas, documento de protección contra explosiones, control de fuentes de ignición, ventilación, limpieza, señalización, coordinación empresarial, formación de las personas trabajadoras y mantenimiento de instalaciones y equipos.</w:t>
      </w:r>
    </w:p>
    <w:p w14:paraId="1BF0EECA" w14:textId="4BE7417E" w:rsidR="001F5A71" w:rsidRDefault="001C31B2" w:rsidP="001F5A71">
      <w:r w:rsidRPr="001C31B2">
        <w:lastRenderedPageBreak/>
        <w:t>La finalidad del informe no es sustituir a una evaluación técnica específica ni al documento de protección contra explosiones elaborado por personal competente, sino ofrecer una visión ordenada y práctica sobre los aspectos mínimos que deberían verificarse en la empresa para asegurar una gestión adecuada del riesgo derivado de la posible formación de atmósferas explosivas.</w:t>
      </w:r>
    </w:p>
    <w:p w14:paraId="78B86904" w14:textId="1E9B7007" w:rsidR="009A03C2" w:rsidRDefault="00AE23FC" w:rsidP="00AE23FC">
      <w:pPr>
        <w:pStyle w:val="Ttulo1"/>
        <w:numPr>
          <w:ilvl w:val="0"/>
          <w:numId w:val="1"/>
        </w:numPr>
      </w:pPr>
      <w:bookmarkStart w:id="2" w:name="_Toc231281234"/>
      <w:r>
        <w:t>Objetivos</w:t>
      </w:r>
      <w:bookmarkEnd w:id="2"/>
    </w:p>
    <w:p w14:paraId="392AE7F2" w14:textId="2942ADDC" w:rsidR="00A15B34" w:rsidRDefault="00A127E5" w:rsidP="00A15B34">
      <w:r>
        <w:t>El</w:t>
      </w:r>
      <w:r w:rsidR="00866144" w:rsidRPr="00866144">
        <w:t xml:space="preserve"> objetivo general es evaluar, mediante un cuestionario de autodiagnóstico, el grado de adecuación de la empresa en relación con la prevención y protección frente a atmósferas explosivas,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31281235"/>
      <w:r>
        <w:t>Metodología</w:t>
      </w:r>
      <w:bookmarkEnd w:id="3"/>
    </w:p>
    <w:p w14:paraId="1DB0F2A7" w14:textId="3CACC23E" w:rsidR="00435CDC" w:rsidRDefault="00763F77" w:rsidP="00435CDC">
      <w:r w:rsidRPr="00763F77">
        <w:t>La metodología utilizada se basa en un modelo de auto chequeo estructurado mediante preguntas organizadas por bloques temáticos</w:t>
      </w:r>
      <w:r w:rsidR="00FB26F2">
        <w:t xml:space="preserve"> en relación con la prevención y protección frente a atmósferas explosivas</w:t>
      </w:r>
      <w:r w:rsidR="000077BE">
        <w:t xml:space="preserve"> </w:t>
      </w:r>
      <w:r w:rsidR="00092FC6">
        <w:t xml:space="preserve">en base al </w:t>
      </w:r>
      <w:r w:rsidR="00092FC6" w:rsidRPr="00092FC6">
        <w:t>Real Decreto 681/2003, de 12 de junio, sobre la protección de la salud y la seguridad de los trabajadores expuestos a los riesgos derivados de atmósferas explosivas en el lugar de trabajo</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8E6D9B">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8E6D9B">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8E6D9B">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lastRenderedPageBreak/>
        <w:t>Además del resultado cuantitativo, la metodología debe incorporar una interpretación cualitativa de las respuestas, especialmente en aquellas cuestiones consideradas críticas. 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t xml:space="preserve"> </w:t>
      </w:r>
      <w:bookmarkStart w:id="4" w:name="_Toc231281236"/>
      <w:r>
        <w:t>Alcance</w:t>
      </w:r>
      <w:bookmarkEnd w:id="4"/>
    </w:p>
    <w:p w14:paraId="03F304DD" w14:textId="063EFF53" w:rsidR="004E4F0B" w:rsidRPr="00795CA5" w:rsidRDefault="0078799D" w:rsidP="004E4F0B">
      <w:r>
        <w:t>El</w:t>
      </w:r>
      <w:r w:rsidR="004E4F0B" w:rsidRPr="004E4F0B">
        <w:rPr>
          <w:rFonts w:ascii="Times New Roman" w:eastAsia="Times New Roman" w:hAnsi="Times New Roman" w:cs="Times New Roman"/>
          <w:kern w:val="0"/>
          <w:sz w:val="24"/>
          <w:szCs w:val="24"/>
          <w:lang w:eastAsia="es-ES"/>
          <w14:ligatures w14:val="none"/>
        </w:rPr>
        <w:t xml:space="preserve"> </w:t>
      </w:r>
      <w:r w:rsidR="004E4F0B" w:rsidRPr="004E4F0B">
        <w:t xml:space="preserve">presente informe se centra únicamente en la gestión preventiva del riesgo derivado de la </w:t>
      </w:r>
      <w:r w:rsidR="004E4F0B" w:rsidRPr="00795CA5">
        <w:t>formación de atmósferas explosivas en el ámbito laboral, dentro del sistema general de prevención de riesgos laborales de la empresa.</w:t>
      </w:r>
    </w:p>
    <w:p w14:paraId="39209DFE" w14:textId="69E53D4D" w:rsidR="00EC09F2" w:rsidRPr="00795CA5" w:rsidRDefault="004E4F0B" w:rsidP="0078799D">
      <w:r w:rsidRPr="00795CA5">
        <w:t>El alcance incluye el análisis de aquellos aspectos que permiten valorar si la empresa identifica, evalúa y controla adecuadamente las sustancias, procesos, instalaciones o zonas en las que puedan generarse atmósferas explosivas, con el fin de prevenir explosiones, evitar fuentes de ignición y proteger la seguridad y salud de las personas trabajadoras.</w:t>
      </w:r>
    </w:p>
    <w:p w14:paraId="4F94D8BB" w14:textId="0BFCF6D0" w:rsidR="00435CDC" w:rsidRDefault="00435CDC" w:rsidP="00435CDC">
      <w:pPr>
        <w:pStyle w:val="Ttulo1"/>
        <w:numPr>
          <w:ilvl w:val="0"/>
          <w:numId w:val="1"/>
        </w:numPr>
      </w:pPr>
      <w:bookmarkStart w:id="5" w:name="_Toc231281237"/>
      <w:r>
        <w:t xml:space="preserve">Normativa </w:t>
      </w:r>
      <w:r w:rsidR="009831F2">
        <w:t xml:space="preserve">nacional </w:t>
      </w:r>
      <w:r>
        <w:t>de aplicación</w:t>
      </w:r>
      <w:bookmarkEnd w:id="5"/>
      <w:r w:rsidR="005A61BB">
        <w:t xml:space="preserve"> </w:t>
      </w:r>
    </w:p>
    <w:p w14:paraId="04C6DD70" w14:textId="25DA4D47" w:rsidR="00435CDC" w:rsidRDefault="00711841" w:rsidP="00435CDC">
      <w:r>
        <w:t>Como normativa y legislación específica en</w:t>
      </w:r>
      <w:r w:rsidR="004E4F0B" w:rsidRPr="004E4F0B">
        <w:t xml:space="preserve"> </w:t>
      </w:r>
      <w:r w:rsidR="004E4F0B">
        <w:t>relación con la prevención y protección frente a atmósferas explosivas</w:t>
      </w:r>
      <w:r>
        <w:t xml:space="preserve"> </w:t>
      </w:r>
      <w:r w:rsidR="00A658F1" w:rsidRPr="00A658F1">
        <w:t>durante el trabajo</w:t>
      </w:r>
      <w:r>
        <w:t>, nos encontramos la siguiente:</w:t>
      </w:r>
    </w:p>
    <w:p w14:paraId="51AB8D2A" w14:textId="67447B43" w:rsidR="009F2852" w:rsidRPr="009F2852" w:rsidRDefault="004E4F0B" w:rsidP="00B92A76">
      <w:pPr>
        <w:pStyle w:val="Prrafodelista"/>
        <w:numPr>
          <w:ilvl w:val="0"/>
          <w:numId w:val="2"/>
        </w:numPr>
      </w:pPr>
      <w:r w:rsidRPr="004E4F0B">
        <w:rPr>
          <w:b/>
          <w:bCs/>
        </w:rPr>
        <w:t>R</w:t>
      </w:r>
      <w:r w:rsidR="002203C8">
        <w:rPr>
          <w:b/>
          <w:bCs/>
        </w:rPr>
        <w:t>EAL DECRETO</w:t>
      </w:r>
      <w:r w:rsidRPr="004E4F0B">
        <w:rPr>
          <w:b/>
          <w:bCs/>
        </w:rPr>
        <w:t xml:space="preserve"> 681/2003, de 12 de junio</w:t>
      </w:r>
      <w:r w:rsidRPr="00DB34BA">
        <w:rPr>
          <w:b/>
          <w:bCs/>
        </w:rPr>
        <w:t xml:space="preserve">, </w:t>
      </w:r>
      <w:r w:rsidRPr="00DB34BA">
        <w:t>sobre la protección de la salud y la seguridad de los trabajadores expuestos a los riesgos derivados de atmósferas explosivas en el lugar de trabajo.</w:t>
      </w:r>
    </w:p>
    <w:p w14:paraId="4B5238D9" w14:textId="2A818BBA" w:rsidR="00435CDC" w:rsidRDefault="00435CDC" w:rsidP="00435CDC">
      <w:pPr>
        <w:pStyle w:val="Ttulo1"/>
        <w:numPr>
          <w:ilvl w:val="0"/>
          <w:numId w:val="1"/>
        </w:numPr>
      </w:pPr>
      <w:bookmarkStart w:id="6" w:name="_Toc231281238"/>
      <w:r>
        <w:t>Cuestionario</w:t>
      </w:r>
      <w:bookmarkEnd w:id="6"/>
      <w:r>
        <w:t xml:space="preserve"> </w:t>
      </w:r>
    </w:p>
    <w:p w14:paraId="74107877" w14:textId="559A334C" w:rsidR="00940657" w:rsidRDefault="009831F2" w:rsidP="00004A2F">
      <w:r>
        <w:t xml:space="preserve">El cuestionario </w:t>
      </w:r>
      <w:r w:rsidR="008559E5">
        <w:t xml:space="preserve">básico de autodiagnóstico sobre </w:t>
      </w:r>
      <w:r w:rsidR="00DC4364" w:rsidRPr="004E4F0B">
        <w:t xml:space="preserve">gestión preventiva del riesgo derivado de la </w:t>
      </w:r>
      <w:r w:rsidR="00DC4364" w:rsidRPr="00795CA5">
        <w:t>formación de atmósferas explosivas en el ámbito laboral</w:t>
      </w:r>
      <w:r w:rsidR="00DC4364">
        <w:t xml:space="preserve">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1518B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8741E1" w:rsidRPr="00940657" w14:paraId="6552765E" w14:textId="77777777" w:rsidTr="00EB7978">
        <w:trPr>
          <w:trHeight w:val="576"/>
        </w:trPr>
        <w:tc>
          <w:tcPr>
            <w:tcW w:w="224" w:type="pct"/>
            <w:shd w:val="clear" w:color="000000" w:fill="FFFFFF"/>
            <w:vAlign w:val="bottom"/>
            <w:hideMark/>
          </w:tcPr>
          <w:p w14:paraId="4B1A836C" w14:textId="77777777" w:rsidR="008741E1" w:rsidRPr="008D670D" w:rsidRDefault="008741E1" w:rsidP="001518B7">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33875F6C" w:rsidR="008741E1" w:rsidRPr="008F46A9" w:rsidRDefault="00875D88" w:rsidP="008E6D9B">
            <w:pPr>
              <w:rPr>
                <w:rFonts w:ascii="Aptos" w:hAnsi="Aptos" w:cs="Calibri"/>
                <w:color w:val="000000"/>
              </w:rPr>
            </w:pPr>
            <w:r w:rsidRPr="008F46A9">
              <w:rPr>
                <w:rFonts w:ascii="Aptos" w:hAnsi="Aptos" w:cs="Calibri"/>
                <w:color w:val="000000"/>
              </w:rPr>
              <w:t>Se ha identificado si existen zonas o procesos con posibilidad de formación de atmósferas explosivas (polvo, gases o vapores inflamables).</w:t>
            </w:r>
          </w:p>
        </w:tc>
        <w:tc>
          <w:tcPr>
            <w:tcW w:w="739" w:type="pct"/>
            <w:vAlign w:val="bottom"/>
          </w:tcPr>
          <w:p w14:paraId="09D61D76" w14:textId="17C4F34C"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6293F87F" w14:textId="77777777" w:rsidTr="00EB7978">
        <w:trPr>
          <w:trHeight w:val="288"/>
        </w:trPr>
        <w:tc>
          <w:tcPr>
            <w:tcW w:w="224" w:type="pct"/>
            <w:shd w:val="clear" w:color="000000" w:fill="FFFFFF"/>
            <w:vAlign w:val="bottom"/>
            <w:hideMark/>
          </w:tcPr>
          <w:p w14:paraId="2793CF7D" w14:textId="77777777" w:rsidR="008741E1" w:rsidRPr="00B56302" w:rsidRDefault="008741E1" w:rsidP="00151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3EFAC336" w:rsidR="008741E1" w:rsidRPr="008F46A9" w:rsidRDefault="001A0E88" w:rsidP="008E6D9B">
            <w:pPr>
              <w:rPr>
                <w:rFonts w:ascii="Aptos" w:hAnsi="Aptos" w:cs="Calibri"/>
                <w:color w:val="000000"/>
              </w:rPr>
            </w:pPr>
            <w:r w:rsidRPr="001A0E88">
              <w:rPr>
                <w:rFonts w:ascii="Aptos" w:hAnsi="Aptos" w:cs="Calibri"/>
                <w:color w:val="000000"/>
              </w:rPr>
              <w:t>La clasificación de zonas ATEX está correctamente definida y señalizada según la frecuencia y duración de atmósferas explosivas.</w:t>
            </w:r>
          </w:p>
        </w:tc>
        <w:tc>
          <w:tcPr>
            <w:tcW w:w="739" w:type="pct"/>
            <w:vAlign w:val="bottom"/>
          </w:tcPr>
          <w:p w14:paraId="46385755" w14:textId="673B2D05"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3877DAE0" w14:textId="77777777" w:rsidTr="00EB7978">
        <w:trPr>
          <w:trHeight w:val="288"/>
        </w:trPr>
        <w:tc>
          <w:tcPr>
            <w:tcW w:w="224" w:type="pct"/>
            <w:shd w:val="clear" w:color="000000" w:fill="FFFFFF"/>
            <w:vAlign w:val="bottom"/>
            <w:hideMark/>
          </w:tcPr>
          <w:p w14:paraId="61B1183F" w14:textId="77777777" w:rsidR="008741E1" w:rsidRPr="00C97A6C" w:rsidRDefault="008741E1" w:rsidP="001518B7">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41EEF08E" w:rsidR="008741E1" w:rsidRPr="008F46A9" w:rsidRDefault="009C7F1B" w:rsidP="008E6D9B">
            <w:r w:rsidRPr="009C7F1B">
              <w:rPr>
                <w:rFonts w:ascii="Aptos" w:hAnsi="Aptos" w:cs="Calibri"/>
                <w:color w:val="000000"/>
              </w:rPr>
              <w:t>El Documento de Protección Contra Explosiones (DPCE) está actualizado y disponible para consulta.</w:t>
            </w:r>
          </w:p>
        </w:tc>
        <w:tc>
          <w:tcPr>
            <w:tcW w:w="739" w:type="pct"/>
            <w:vAlign w:val="bottom"/>
          </w:tcPr>
          <w:p w14:paraId="1CFB7FFE" w14:textId="4A4CE5B6"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6B25B2E" w14:textId="77777777" w:rsidTr="00EB7978">
        <w:trPr>
          <w:trHeight w:val="600"/>
        </w:trPr>
        <w:tc>
          <w:tcPr>
            <w:tcW w:w="224" w:type="pct"/>
            <w:shd w:val="clear" w:color="000000" w:fill="FFFFFF"/>
            <w:vAlign w:val="bottom"/>
            <w:hideMark/>
          </w:tcPr>
          <w:p w14:paraId="69148FBA" w14:textId="77777777" w:rsidR="008741E1" w:rsidRPr="00764157" w:rsidRDefault="008741E1" w:rsidP="001518B7">
            <w:pPr>
              <w:spacing w:after="0" w:line="240" w:lineRule="auto"/>
              <w:jc w:val="center"/>
            </w:pPr>
            <w:r w:rsidRPr="00764157">
              <w:t>4</w:t>
            </w:r>
          </w:p>
        </w:tc>
        <w:tc>
          <w:tcPr>
            <w:tcW w:w="3135" w:type="pct"/>
          </w:tcPr>
          <w:p w14:paraId="54DAAFEE" w14:textId="73B578D2" w:rsidR="008741E1" w:rsidRPr="006F11D6" w:rsidRDefault="009C7F1B" w:rsidP="008E6D9B">
            <w:pPr>
              <w:rPr>
                <w:rFonts w:ascii="Aptos" w:hAnsi="Aptos" w:cs="Calibri"/>
                <w:color w:val="000000"/>
              </w:rPr>
            </w:pPr>
            <w:r w:rsidRPr="009C7F1B">
              <w:rPr>
                <w:rFonts w:ascii="Aptos" w:hAnsi="Aptos" w:cs="Calibri"/>
                <w:color w:val="000000"/>
              </w:rPr>
              <w:t>La señalización EX está colocada en accesos y zonas clasificadas, es visible y cumple los requisitos reglamentarios.</w:t>
            </w:r>
          </w:p>
        </w:tc>
        <w:tc>
          <w:tcPr>
            <w:tcW w:w="739" w:type="pct"/>
            <w:vAlign w:val="bottom"/>
          </w:tcPr>
          <w:p w14:paraId="649C23BC" w14:textId="65C981EA" w:rsidR="008741E1" w:rsidRPr="00B56302" w:rsidRDefault="008741E1" w:rsidP="008741E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4319B6F" w14:textId="77777777" w:rsidTr="00EB7978">
        <w:trPr>
          <w:trHeight w:val="576"/>
        </w:trPr>
        <w:tc>
          <w:tcPr>
            <w:tcW w:w="224" w:type="pct"/>
            <w:shd w:val="clear" w:color="000000" w:fill="FFFFFF"/>
            <w:vAlign w:val="bottom"/>
            <w:hideMark/>
          </w:tcPr>
          <w:p w14:paraId="3360D9C4" w14:textId="77777777" w:rsidR="008741E1" w:rsidRPr="00B56302" w:rsidRDefault="008741E1" w:rsidP="00151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5</w:t>
            </w:r>
          </w:p>
        </w:tc>
        <w:tc>
          <w:tcPr>
            <w:tcW w:w="3135" w:type="pct"/>
          </w:tcPr>
          <w:p w14:paraId="258EF6F7" w14:textId="06FE4A87" w:rsidR="008741E1" w:rsidRPr="006F11D6" w:rsidRDefault="009C7F1B" w:rsidP="008E6D9B">
            <w:pPr>
              <w:rPr>
                <w:rFonts w:ascii="Aptos" w:hAnsi="Aptos" w:cs="Calibri"/>
                <w:color w:val="000000"/>
              </w:rPr>
            </w:pPr>
            <w:r w:rsidRPr="009C7F1B">
              <w:rPr>
                <w:rFonts w:ascii="Aptos" w:hAnsi="Aptos" w:cs="Calibri"/>
                <w:color w:val="000000"/>
              </w:rPr>
              <w:t>La formación de las personas trabajadoras cubre riesgos ATEX, fuentes de ignición y medidas preventivas.</w:t>
            </w:r>
          </w:p>
        </w:tc>
        <w:tc>
          <w:tcPr>
            <w:tcW w:w="739" w:type="pct"/>
            <w:vAlign w:val="bottom"/>
          </w:tcPr>
          <w:p w14:paraId="78A5357F" w14:textId="073D7314"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A14BC4" w:rsidRPr="00940657" w14:paraId="7A3DD229" w14:textId="77777777" w:rsidTr="00EB7978">
        <w:trPr>
          <w:trHeight w:val="576"/>
        </w:trPr>
        <w:tc>
          <w:tcPr>
            <w:tcW w:w="224" w:type="pct"/>
            <w:shd w:val="clear" w:color="000000" w:fill="FFFFFF"/>
            <w:vAlign w:val="bottom"/>
            <w:hideMark/>
          </w:tcPr>
          <w:p w14:paraId="2E24F4FA" w14:textId="77777777" w:rsidR="00A14BC4" w:rsidRPr="00B56302" w:rsidRDefault="00A14BC4" w:rsidP="00151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6F7F303E" w:rsidR="00A14BC4" w:rsidRPr="006F11D6" w:rsidRDefault="009C7F1B" w:rsidP="008E6D9B">
            <w:pPr>
              <w:rPr>
                <w:rFonts w:ascii="Aptos" w:hAnsi="Aptos" w:cs="Calibri"/>
                <w:color w:val="000000"/>
              </w:rPr>
            </w:pPr>
            <w:r w:rsidRPr="009C7F1B">
              <w:rPr>
                <w:rFonts w:ascii="Aptos" w:hAnsi="Aptos" w:cs="Calibri"/>
                <w:color w:val="000000"/>
              </w:rPr>
              <w:t>Los procedimientos de trabajo incluyen instrucciones específicas para evitar la formación de atmósferas explosivas.</w:t>
            </w:r>
          </w:p>
        </w:tc>
        <w:tc>
          <w:tcPr>
            <w:tcW w:w="739" w:type="pct"/>
            <w:vAlign w:val="bottom"/>
          </w:tcPr>
          <w:p w14:paraId="7E89C1B5" w14:textId="1FD3AFA9" w:rsidR="00A14BC4" w:rsidRPr="00B56302" w:rsidRDefault="00A14BC4" w:rsidP="00A14BC4">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A14BC4" w:rsidRPr="00B56302" w:rsidRDefault="00A14BC4" w:rsidP="00A14BC4">
            <w:pPr>
              <w:spacing w:after="0" w:line="240" w:lineRule="auto"/>
              <w:jc w:val="center"/>
              <w:rPr>
                <w:rFonts w:ascii="Aptos" w:eastAsia="Times New Roman" w:hAnsi="Aptos" w:cs="Calibri"/>
                <w:color w:val="000000"/>
                <w:kern w:val="0"/>
                <w:lang w:eastAsia="es-ES"/>
                <w14:ligatures w14:val="none"/>
              </w:rPr>
            </w:pPr>
          </w:p>
        </w:tc>
      </w:tr>
      <w:tr w:rsidR="00A14BC4" w:rsidRPr="00940657" w14:paraId="1377F293" w14:textId="77777777" w:rsidTr="00EB7978">
        <w:trPr>
          <w:trHeight w:val="576"/>
        </w:trPr>
        <w:tc>
          <w:tcPr>
            <w:tcW w:w="224" w:type="pct"/>
            <w:shd w:val="clear" w:color="000000" w:fill="FFFFFF"/>
            <w:vAlign w:val="bottom"/>
            <w:hideMark/>
          </w:tcPr>
          <w:p w14:paraId="30B46FEC" w14:textId="77777777" w:rsidR="00A14BC4" w:rsidRPr="00B56302" w:rsidRDefault="00A14BC4" w:rsidP="00151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5FFEF639" w:rsidR="00A14BC4" w:rsidRPr="006F11D6" w:rsidRDefault="009D0999" w:rsidP="008E6D9B">
            <w:pPr>
              <w:tabs>
                <w:tab w:val="left" w:pos="1485"/>
              </w:tabs>
              <w:spacing w:after="0" w:line="240" w:lineRule="auto"/>
            </w:pPr>
            <w:r w:rsidRPr="009D0999">
              <w:rPr>
                <w:rFonts w:ascii="Aptos" w:hAnsi="Aptos" w:cs="Calibri"/>
                <w:color w:val="000000"/>
              </w:rPr>
              <w:t>Los planes de emergencia contemplan escenarios de explosión y procedimientos de evacuación específicos.</w:t>
            </w:r>
          </w:p>
        </w:tc>
        <w:tc>
          <w:tcPr>
            <w:tcW w:w="739" w:type="pct"/>
            <w:vAlign w:val="bottom"/>
          </w:tcPr>
          <w:p w14:paraId="6738890A" w14:textId="7720E573" w:rsidR="00A14BC4" w:rsidRPr="00B56302" w:rsidRDefault="00A14BC4" w:rsidP="00A14BC4">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A14BC4" w:rsidRPr="00B56302" w:rsidRDefault="00A14BC4" w:rsidP="00A14BC4">
            <w:pPr>
              <w:spacing w:after="0" w:line="240" w:lineRule="auto"/>
              <w:jc w:val="center"/>
              <w:rPr>
                <w:rFonts w:ascii="Aptos" w:eastAsia="Times New Roman" w:hAnsi="Aptos" w:cs="Calibri"/>
                <w:color w:val="000000"/>
                <w:kern w:val="0"/>
                <w:lang w:eastAsia="es-ES"/>
                <w14:ligatures w14:val="none"/>
              </w:rPr>
            </w:pPr>
          </w:p>
        </w:tc>
      </w:tr>
      <w:tr w:rsidR="00A14BC4" w:rsidRPr="00940657" w14:paraId="59BAD47D" w14:textId="77777777" w:rsidTr="00EB7978">
        <w:trPr>
          <w:trHeight w:val="576"/>
        </w:trPr>
        <w:tc>
          <w:tcPr>
            <w:tcW w:w="224" w:type="pct"/>
            <w:shd w:val="clear" w:color="000000" w:fill="FFFFFF"/>
            <w:vAlign w:val="bottom"/>
            <w:hideMark/>
          </w:tcPr>
          <w:p w14:paraId="7BA1B9DB" w14:textId="77777777" w:rsidR="00A14BC4" w:rsidRPr="00CD5773" w:rsidRDefault="00A14BC4" w:rsidP="001518B7">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414FDF9C" w:rsidR="00A14BC4" w:rsidRPr="006F11D6" w:rsidRDefault="009D0999" w:rsidP="008E6D9B">
            <w:pPr>
              <w:rPr>
                <w:rFonts w:ascii="Aptos" w:hAnsi="Aptos" w:cs="Calibri"/>
                <w:color w:val="000000"/>
              </w:rPr>
            </w:pPr>
            <w:r w:rsidRPr="009D0999">
              <w:rPr>
                <w:rFonts w:ascii="Aptos" w:hAnsi="Aptos" w:cs="Calibri"/>
                <w:color w:val="000000"/>
              </w:rPr>
              <w:t>La empresa garantiza la coordinación entre empresas concurrentes en zonas ATEX mediante procedimientos documentados.</w:t>
            </w:r>
          </w:p>
        </w:tc>
        <w:tc>
          <w:tcPr>
            <w:tcW w:w="739" w:type="pct"/>
            <w:vAlign w:val="bottom"/>
          </w:tcPr>
          <w:p w14:paraId="445BF012" w14:textId="20449A61" w:rsidR="00A14BC4" w:rsidRPr="00B56302" w:rsidRDefault="00A14BC4" w:rsidP="00A14BC4">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A14BC4" w:rsidRPr="00B56302" w:rsidRDefault="00A14BC4" w:rsidP="00A14BC4">
            <w:pPr>
              <w:spacing w:after="0" w:line="240" w:lineRule="auto"/>
              <w:jc w:val="center"/>
              <w:rPr>
                <w:rFonts w:ascii="Aptos" w:eastAsia="Times New Roman" w:hAnsi="Aptos" w:cs="Calibri"/>
                <w:color w:val="000000"/>
                <w:kern w:val="0"/>
                <w:lang w:eastAsia="es-ES"/>
                <w14:ligatures w14:val="none"/>
              </w:rPr>
            </w:pPr>
          </w:p>
        </w:tc>
      </w:tr>
      <w:tr w:rsidR="00447212" w:rsidRPr="00940657" w14:paraId="4A04C436" w14:textId="77777777" w:rsidTr="00EB7978">
        <w:trPr>
          <w:trHeight w:val="576"/>
        </w:trPr>
        <w:tc>
          <w:tcPr>
            <w:tcW w:w="224" w:type="pct"/>
            <w:shd w:val="clear" w:color="000000" w:fill="FFFFFF"/>
            <w:vAlign w:val="bottom"/>
          </w:tcPr>
          <w:p w14:paraId="19D50E5A" w14:textId="33E8248F" w:rsidR="00447212" w:rsidRPr="00CD5773" w:rsidRDefault="00447212" w:rsidP="00151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D944FB0" w14:textId="5E290F0B" w:rsidR="00447212" w:rsidRPr="009D0999" w:rsidRDefault="00447212" w:rsidP="008E6D9B">
            <w:pPr>
              <w:rPr>
                <w:rFonts w:ascii="Aptos" w:hAnsi="Aptos" w:cs="Calibri"/>
                <w:color w:val="000000"/>
              </w:rPr>
            </w:pPr>
            <w:r w:rsidRPr="00447212">
              <w:rPr>
                <w:rFonts w:ascii="Aptos" w:hAnsi="Aptos" w:cs="Calibri"/>
                <w:color w:val="000000"/>
              </w:rPr>
              <w:t>Se integra la perspectiva de género en la gestión de atmósferas explosivas, considerando las condiciones reales de trabajo de mujeres y hombres.</w:t>
            </w:r>
          </w:p>
        </w:tc>
        <w:tc>
          <w:tcPr>
            <w:tcW w:w="739" w:type="pct"/>
            <w:vAlign w:val="bottom"/>
          </w:tcPr>
          <w:p w14:paraId="5DC1E73B" w14:textId="77777777" w:rsidR="00447212" w:rsidRPr="00B56302" w:rsidRDefault="00447212" w:rsidP="00A14BC4">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2D0A988" w14:textId="77777777" w:rsidR="00447212" w:rsidRPr="00B56302" w:rsidRDefault="00447212" w:rsidP="00A14BC4">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31281239"/>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115FF5E1" w:rsidR="00F74B9C" w:rsidRPr="009602A7" w:rsidRDefault="001518B7"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198FDBD6" w:rsidR="00871496" w:rsidRDefault="001518B7" w:rsidP="00F33319">
      <w:r>
        <w:t>De acuerdo con</w:t>
      </w:r>
      <w:r w:rsidR="009A5237">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6832C7D1"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31281240"/>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31281241"/>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31281242"/>
      <w:r>
        <w:t>Conclusiones</w:t>
      </w:r>
      <w:bookmarkEnd w:id="10"/>
    </w:p>
    <w:p w14:paraId="530B9B3C" w14:textId="366107E3" w:rsidR="00801347" w:rsidRPr="00801347" w:rsidRDefault="00FD601B" w:rsidP="00801347">
      <w:r>
        <w:t>El</w:t>
      </w:r>
      <w:r w:rsidR="00801347" w:rsidRPr="00801347">
        <w:rPr>
          <w:rFonts w:ascii="Times New Roman" w:eastAsia="Times New Roman" w:hAnsi="Times New Roman" w:cs="Times New Roman"/>
          <w:kern w:val="0"/>
          <w:sz w:val="24"/>
          <w:szCs w:val="24"/>
          <w:lang w:eastAsia="es-ES"/>
          <w14:ligatures w14:val="none"/>
        </w:rPr>
        <w:t xml:space="preserve"> </w:t>
      </w:r>
      <w:r w:rsidR="00801347" w:rsidRPr="00801347">
        <w:t>autodiagnóstico sobre atmósferas explosivas permite obtener una visión inicial del grado de adecuación de la empresa en relación con la identificación, evaluación, prevención y control del riesgo de explosión dentro del sistema de prevención de riesgos laborales.</w:t>
      </w:r>
    </w:p>
    <w:p w14:paraId="7F4F3D7C" w14:textId="77777777" w:rsidR="00801347" w:rsidRPr="00801347" w:rsidRDefault="00801347" w:rsidP="00801347">
      <w:r w:rsidRPr="00801347">
        <w:t>La posible formación de atmósferas explosivas debe ser evaluada cuando existan sustancias inflamables o combustibles en forma de gases, vapores, nieblas o polvos, así como procesos, instalaciones o zonas donde puedan generarse mezclas explosivas.</w:t>
      </w:r>
    </w:p>
    <w:p w14:paraId="1DF6C572" w14:textId="77777777" w:rsidR="00801347" w:rsidRPr="00801347" w:rsidRDefault="00801347" w:rsidP="00801347">
      <w:r w:rsidRPr="00801347">
        <w:lastRenderedPageBreak/>
        <w:t>Una gestión adecuada requiere priorizar la prevención de la formación de atmósferas explosivas y, cuando esto no sea posible, evitar la presencia de fuentes de ignición eficaces mediante medidas técnicas, organizativas, de mantenimiento, limpieza, señalización y control de accesos.</w:t>
      </w:r>
    </w:p>
    <w:p w14:paraId="1F016295" w14:textId="77777777" w:rsidR="00801347" w:rsidRPr="00801347" w:rsidRDefault="00801347" w:rsidP="00801347">
      <w:r w:rsidRPr="00801347">
        <w:t>Los resultados del cuestionario permiten detectar posibles deficiencias, como la falta de identificación de sustancias inflamables o combustibles, ausencia de clasificación de zonas, inexistencia o desactualización del documento de protección contra explosiones, uso de equipos no adecuados, deficiencias en ventilación, limpieza insuficiente, falta de formación o carencias en la coordinación empresarial.</w:t>
      </w:r>
    </w:p>
    <w:p w14:paraId="132FC280" w14:textId="77777777" w:rsidR="00801347" w:rsidRPr="00801347" w:rsidRDefault="00801347" w:rsidP="00801347">
      <w:r w:rsidRPr="00801347">
        <w:t>Estas deficiencias deben ser analizadas e incorporadas, cuando corresponda, a la planificación preventiva de la empresa mediante acciones correctoras, asignación de responsables, definición de plazos y seguimiento de su implantación.</w:t>
      </w:r>
    </w:p>
    <w:p w14:paraId="66F82640" w14:textId="70127BAE" w:rsidR="00A604C8" w:rsidRDefault="00801347" w:rsidP="00A604C8">
      <w:r w:rsidRPr="00801347">
        <w:t>En conclusión, una gestión eficaz del riesgo por atmósferas explosivas contribuye a prevenir incendios y explosiones, proteger la seguridad y salud de las personas trabajadoras, reducir daños en instalaciones y reforzar el cumplimiento preventivo de la empresa</w:t>
      </w:r>
      <w:r w:rsidR="004B54F4" w:rsidRPr="004B54F4">
        <w:t>.</w:t>
      </w:r>
    </w:p>
    <w:p w14:paraId="7B562702" w14:textId="6A7C91D3" w:rsidR="000406B0" w:rsidRDefault="00F567EE" w:rsidP="000406B0">
      <w:pPr>
        <w:pStyle w:val="Ttulo1"/>
        <w:numPr>
          <w:ilvl w:val="0"/>
          <w:numId w:val="1"/>
        </w:numPr>
      </w:pPr>
      <w:bookmarkStart w:id="11" w:name="_Toc231281243"/>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5B739000" w:rsidR="00004A2F" w:rsidRDefault="0017186E" w:rsidP="00004A2F">
      <w:pPr>
        <w:pStyle w:val="Prrafodelista"/>
        <w:numPr>
          <w:ilvl w:val="0"/>
          <w:numId w:val="2"/>
        </w:numPr>
      </w:pPr>
      <w:hyperlink r:id="rId11" w:history="1">
        <w:r w:rsidRPr="005B778A">
          <w:rPr>
            <w:rStyle w:val="Hipervnculo"/>
          </w:rPr>
          <w:t xml:space="preserve">INSST </w:t>
        </w:r>
        <w:r w:rsidR="003A37DD" w:rsidRPr="005B778A">
          <w:rPr>
            <w:rStyle w:val="Hipervnculo"/>
          </w:rPr>
          <w:t>–</w:t>
        </w:r>
        <w:r w:rsidRPr="005B778A">
          <w:rPr>
            <w:rStyle w:val="Hipervnculo"/>
          </w:rPr>
          <w:t xml:space="preserve"> </w:t>
        </w:r>
        <w:r w:rsidR="005B778A" w:rsidRPr="005B778A">
          <w:rPr>
            <w:rStyle w:val="Hipervnculo"/>
          </w:rPr>
          <w:t>Atmósferas Explosivas ATEX</w:t>
        </w:r>
      </w:hyperlink>
    </w:p>
    <w:p w14:paraId="3DDD04D8" w14:textId="77777777" w:rsidR="0038763B" w:rsidRDefault="0038763B" w:rsidP="0038763B">
      <w:pPr>
        <w:pStyle w:val="Ttulo1"/>
      </w:pPr>
      <w:bookmarkStart w:id="12" w:name="_Toc231281244"/>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7DBFC6F" w14:textId="77777777" w:rsidR="009322FA" w:rsidRDefault="009322FA" w:rsidP="00606907"/>
          <w:p w14:paraId="431440B3" w14:textId="77777777" w:rsidR="00A77A49" w:rsidRDefault="00A77A49" w:rsidP="00494878">
            <w:pPr>
              <w:pStyle w:val="Prrafodelista"/>
              <w:numPr>
                <w:ilvl w:val="0"/>
                <w:numId w:val="5"/>
              </w:numPr>
            </w:pPr>
            <w:r w:rsidRPr="00A77A49">
              <w:t xml:space="preserve">Se deben </w:t>
            </w:r>
            <w:r w:rsidRPr="00A77A49">
              <w:rPr>
                <w:b/>
                <w:bCs/>
              </w:rPr>
              <w:t>identificar las sustancias, mezclas, procesos o instalaciones que puedan generar atmósferas explosivas</w:t>
            </w:r>
            <w:r w:rsidRPr="00A77A49">
              <w:t xml:space="preserve">, ya sea por presencia de gases, vapores, nieblas o polvos combustibles. </w:t>
            </w:r>
          </w:p>
          <w:p w14:paraId="2EB98D57" w14:textId="265448E3" w:rsidR="0056354D" w:rsidRDefault="0056354D" w:rsidP="00494878">
            <w:pPr>
              <w:pStyle w:val="Prrafodelista"/>
              <w:numPr>
                <w:ilvl w:val="0"/>
                <w:numId w:val="5"/>
              </w:numPr>
            </w:pPr>
            <w:r w:rsidRPr="0056354D">
              <w:t xml:space="preserve">Se debe </w:t>
            </w:r>
            <w:r w:rsidRPr="0056354D">
              <w:rPr>
                <w:b/>
                <w:bCs/>
              </w:rPr>
              <w:t>evaluar el riesgo de formación de atmósferas explosivas</w:t>
            </w:r>
            <w:r w:rsidRPr="0056354D">
              <w:t>, considerando las condiciones normales de trabajo, las operaciones no habituales, el mantenimiento, la limpieza y las posibles situaciones de fallo</w:t>
            </w:r>
            <w:r>
              <w:t>.</w:t>
            </w:r>
          </w:p>
          <w:p w14:paraId="1D378CFA" w14:textId="77777777" w:rsidR="0056354D" w:rsidRDefault="0056354D" w:rsidP="00494878">
            <w:pPr>
              <w:pStyle w:val="Prrafodelista"/>
              <w:numPr>
                <w:ilvl w:val="0"/>
                <w:numId w:val="5"/>
              </w:numPr>
            </w:pPr>
            <w:r w:rsidRPr="0056354D">
              <w:t xml:space="preserve">Se debe disponer de un </w:t>
            </w:r>
            <w:r w:rsidRPr="0056354D">
              <w:rPr>
                <w:b/>
                <w:bCs/>
              </w:rPr>
              <w:t>documento de protección contra explosiones</w:t>
            </w:r>
            <w:r w:rsidRPr="0056354D">
              <w:t xml:space="preserve"> que recoja la evaluación del riesgo, las medidas preventivas y de protección implantadas, la clasificación de zonas y la coordinación necesaria. </w:t>
            </w:r>
          </w:p>
          <w:p w14:paraId="5A391028" w14:textId="77777777" w:rsidR="0056354D" w:rsidRDefault="0056354D" w:rsidP="00494878">
            <w:pPr>
              <w:pStyle w:val="Prrafodelista"/>
              <w:numPr>
                <w:ilvl w:val="0"/>
                <w:numId w:val="5"/>
              </w:numPr>
            </w:pPr>
            <w:r w:rsidRPr="0056354D">
              <w:t xml:space="preserve">La </w:t>
            </w:r>
            <w:r w:rsidRPr="0056354D">
              <w:rPr>
                <w:b/>
                <w:bCs/>
              </w:rPr>
              <w:t>evaluación y el documento de protección contra explosiones deben revisarse</w:t>
            </w:r>
            <w:r w:rsidRPr="0056354D">
              <w:t xml:space="preserve"> cuando se produzcan cambios en sustancias, procesos, instalaciones, equipos, métodos de trabajo o incidentes relacionados. </w:t>
            </w:r>
          </w:p>
          <w:p w14:paraId="15181167" w14:textId="77777777" w:rsidR="004D3E7A" w:rsidRDefault="004D3E7A" w:rsidP="00494878">
            <w:pPr>
              <w:pStyle w:val="Prrafodelista"/>
              <w:numPr>
                <w:ilvl w:val="0"/>
                <w:numId w:val="5"/>
              </w:numPr>
            </w:pPr>
            <w:r w:rsidRPr="004D3E7A">
              <w:t xml:space="preserve">Se deben </w:t>
            </w:r>
            <w:r w:rsidRPr="004D3E7A">
              <w:rPr>
                <w:b/>
                <w:bCs/>
              </w:rPr>
              <w:t>clasificar las zonas en las que puedan formarse atmósferas explosivas</w:t>
            </w:r>
            <w:r w:rsidRPr="004D3E7A">
              <w:t xml:space="preserve">, diferenciando entre zonas por </w:t>
            </w:r>
            <w:r w:rsidRPr="004D3E7A">
              <w:rPr>
                <w:b/>
                <w:bCs/>
              </w:rPr>
              <w:t>gases, vapores o nieblas</w:t>
            </w:r>
            <w:r w:rsidRPr="004D3E7A">
              <w:t xml:space="preserve">, y zonas por presencia de </w:t>
            </w:r>
            <w:r w:rsidRPr="004D3E7A">
              <w:rPr>
                <w:b/>
                <w:bCs/>
              </w:rPr>
              <w:t>polvo combustible</w:t>
            </w:r>
            <w:r w:rsidRPr="004D3E7A">
              <w:t xml:space="preserve">. </w:t>
            </w:r>
          </w:p>
          <w:p w14:paraId="132B6CA9" w14:textId="427A9CFD" w:rsidR="00494878" w:rsidRDefault="007D1F51" w:rsidP="00494878">
            <w:pPr>
              <w:pStyle w:val="Prrafodelista"/>
              <w:numPr>
                <w:ilvl w:val="0"/>
                <w:numId w:val="5"/>
              </w:numPr>
            </w:pPr>
            <w:r w:rsidRPr="007D1F51">
              <w:t xml:space="preserve">La </w:t>
            </w:r>
            <w:r w:rsidRPr="007D1F51">
              <w:rPr>
                <w:b/>
                <w:bCs/>
              </w:rPr>
              <w:t>clasificación de zonas debe quedar representada en planos, croquis o documentación equivalente</w:t>
            </w:r>
            <w:r w:rsidRPr="007D1F51">
              <w:t>, indicando el alcance y características de cada zona clasificada.</w:t>
            </w:r>
          </w:p>
          <w:p w14:paraId="4D0992EF" w14:textId="426FBFBB" w:rsidR="00494878" w:rsidRDefault="007D1F51" w:rsidP="00494878">
            <w:pPr>
              <w:pStyle w:val="Prrafodelista"/>
              <w:numPr>
                <w:ilvl w:val="0"/>
                <w:numId w:val="5"/>
              </w:numPr>
            </w:pPr>
            <w:r w:rsidRPr="007D1F51">
              <w:lastRenderedPageBreak/>
              <w:t xml:space="preserve">La clasificación debe </w:t>
            </w:r>
            <w:r w:rsidRPr="007D1F51">
              <w:rPr>
                <w:b/>
                <w:bCs/>
              </w:rPr>
              <w:t>tener en cuenta la frecuencia y duración de la presencia de atmósferas explosivas</w:t>
            </w:r>
            <w:r w:rsidRPr="007D1F51">
              <w:t>, así como las condiciones de ventilación, confinamiento, acumulación o dispersión de sustancias inflamables o combustibles</w:t>
            </w:r>
            <w:r w:rsidR="00494878">
              <w:t>.</w:t>
            </w:r>
          </w:p>
          <w:p w14:paraId="37896BDF" w14:textId="77777777" w:rsidR="0090046A" w:rsidRDefault="0090046A" w:rsidP="00494878">
            <w:pPr>
              <w:pStyle w:val="Prrafodelista"/>
              <w:numPr>
                <w:ilvl w:val="0"/>
                <w:numId w:val="5"/>
              </w:numPr>
            </w:pPr>
            <w:r w:rsidRPr="0090046A">
              <w:t xml:space="preserve">Se deben </w:t>
            </w:r>
            <w:r w:rsidRPr="0090046A">
              <w:rPr>
                <w:b/>
                <w:bCs/>
              </w:rPr>
              <w:t>utilizar sistemas cerrados, ventilación eficaz u otras medidas técnicas</w:t>
            </w:r>
            <w:r w:rsidRPr="0090046A">
              <w:t xml:space="preserve"> para evitar o reducir la acumulación de gases, vapores, nieblas o polvos inflamables. </w:t>
            </w:r>
          </w:p>
          <w:p w14:paraId="0A99B1E3" w14:textId="77777777" w:rsidR="001D4067" w:rsidRDefault="001D4067" w:rsidP="00494878">
            <w:pPr>
              <w:pStyle w:val="Prrafodelista"/>
              <w:numPr>
                <w:ilvl w:val="0"/>
                <w:numId w:val="5"/>
              </w:numPr>
            </w:pPr>
            <w:r w:rsidRPr="001D4067">
              <w:t xml:space="preserve">Los equipos, procesos e instalaciones deben diseñarse y mantenerse de forma que se </w:t>
            </w:r>
            <w:r w:rsidRPr="001D4067">
              <w:rPr>
                <w:b/>
                <w:bCs/>
              </w:rPr>
              <w:t>minimice la liberación de sustancias inflamables o combustibles</w:t>
            </w:r>
            <w:r w:rsidRPr="001D4067">
              <w:t>.</w:t>
            </w:r>
          </w:p>
          <w:p w14:paraId="61D28D59" w14:textId="428579CB" w:rsidR="00494878" w:rsidRDefault="00871B33" w:rsidP="00494878">
            <w:pPr>
              <w:pStyle w:val="Prrafodelista"/>
              <w:numPr>
                <w:ilvl w:val="0"/>
                <w:numId w:val="5"/>
              </w:numPr>
            </w:pPr>
            <w:r w:rsidRPr="00871B33">
              <w:t xml:space="preserve">Se debe </w:t>
            </w:r>
            <w:r w:rsidRPr="00871B33">
              <w:rPr>
                <w:b/>
                <w:bCs/>
              </w:rPr>
              <w:t>evitar la acumulación de polvo combustible</w:t>
            </w:r>
            <w:r w:rsidRPr="00871B33">
              <w:t xml:space="preserve"> mediante programas adecuados de limpieza, aspiración, mantenimiento y control de depósitos.</w:t>
            </w:r>
          </w:p>
          <w:p w14:paraId="4CB890C8" w14:textId="08A1B98F" w:rsidR="00494878" w:rsidRDefault="00871B33" w:rsidP="00494878">
            <w:pPr>
              <w:pStyle w:val="Prrafodelista"/>
              <w:numPr>
                <w:ilvl w:val="0"/>
                <w:numId w:val="5"/>
              </w:numPr>
            </w:pPr>
            <w:r w:rsidRPr="00871B33">
              <w:t xml:space="preserve">Las instalaciones deben </w:t>
            </w:r>
            <w:r w:rsidRPr="00871B33">
              <w:rPr>
                <w:b/>
                <w:bCs/>
              </w:rPr>
              <w:t>permitir una adecuada evacuación, captación o dispersión segura de sustancias</w:t>
            </w:r>
            <w:r w:rsidRPr="00871B33">
              <w:t xml:space="preserve"> que puedan generar atmósferas explosivas</w:t>
            </w:r>
            <w:r w:rsidR="00494878">
              <w:t>.</w:t>
            </w:r>
          </w:p>
          <w:p w14:paraId="4513084C" w14:textId="447752DD" w:rsidR="00494878" w:rsidRDefault="00494878" w:rsidP="00494878">
            <w:pPr>
              <w:pStyle w:val="Prrafodelista"/>
              <w:numPr>
                <w:ilvl w:val="0"/>
                <w:numId w:val="5"/>
              </w:numPr>
            </w:pPr>
            <w:r>
              <w:t xml:space="preserve">Se debe </w:t>
            </w:r>
            <w:r w:rsidRPr="005E0C10">
              <w:rPr>
                <w:b/>
                <w:bCs/>
              </w:rPr>
              <w:t>garantizar espacio suficiente y una superficie estable</w:t>
            </w:r>
            <w:r>
              <w:t xml:space="preserve"> para la manipulación de bloques, palets, cajas, piezas u otros materiales.</w:t>
            </w:r>
          </w:p>
          <w:p w14:paraId="24139253" w14:textId="77777777" w:rsidR="003122F3" w:rsidRDefault="003122F3" w:rsidP="00494878">
            <w:pPr>
              <w:pStyle w:val="Prrafodelista"/>
              <w:numPr>
                <w:ilvl w:val="0"/>
                <w:numId w:val="5"/>
              </w:numPr>
            </w:pPr>
            <w:r w:rsidRPr="003122F3">
              <w:t xml:space="preserve">Se deben </w:t>
            </w:r>
            <w:r w:rsidRPr="003122F3">
              <w:rPr>
                <w:b/>
                <w:bCs/>
              </w:rPr>
              <w:t>identificar y controlar las posibles fuentes de ignición</w:t>
            </w:r>
            <w:r w:rsidRPr="003122F3">
              <w:t xml:space="preserve">, como llamas, chispas, superficies calientes, electricidad estática, equipos eléctricos, trabajos en caliente o fricción mecánica. </w:t>
            </w:r>
          </w:p>
          <w:p w14:paraId="01A29983" w14:textId="77777777" w:rsidR="003122F3" w:rsidRDefault="003122F3" w:rsidP="00494878">
            <w:pPr>
              <w:pStyle w:val="Prrafodelista"/>
              <w:numPr>
                <w:ilvl w:val="0"/>
                <w:numId w:val="5"/>
              </w:numPr>
            </w:pPr>
            <w:r w:rsidRPr="003122F3">
              <w:t xml:space="preserve">El diseño del lugar de trabajo debe permitir la </w:t>
            </w:r>
            <w:r w:rsidRPr="003122F3">
              <w:rPr>
                <w:b/>
                <w:bCs/>
              </w:rPr>
              <w:t xml:space="preserve">disipación de cargas electrostáticas </w:t>
            </w:r>
            <w:r w:rsidRPr="003122F3">
              <w:t>mediante conexiones equipotenciales, puestas a tierra u otras medidas adecuadas.</w:t>
            </w:r>
          </w:p>
          <w:p w14:paraId="3084AB00" w14:textId="5F32B956" w:rsidR="00494878" w:rsidRPr="006F044D" w:rsidRDefault="003122F3" w:rsidP="00494878">
            <w:pPr>
              <w:pStyle w:val="Prrafodelista"/>
              <w:numPr>
                <w:ilvl w:val="0"/>
                <w:numId w:val="5"/>
              </w:numPr>
              <w:rPr>
                <w:b/>
                <w:bCs/>
              </w:rPr>
            </w:pPr>
            <w:r w:rsidRPr="003122F3">
              <w:t xml:space="preserve"> </w:t>
            </w:r>
            <w:r w:rsidR="006F044D" w:rsidRPr="006F044D">
              <w:t xml:space="preserve">Las </w:t>
            </w:r>
            <w:r w:rsidR="006F044D" w:rsidRPr="006F044D">
              <w:rPr>
                <w:b/>
                <w:bCs/>
              </w:rPr>
              <w:t>superficies, estructuras, conductos y equipos</w:t>
            </w:r>
            <w:r w:rsidR="006F044D" w:rsidRPr="006F044D">
              <w:t xml:space="preserve"> deben construirse con materiales que </w:t>
            </w:r>
            <w:r w:rsidR="006F044D" w:rsidRPr="006F044D">
              <w:rPr>
                <w:b/>
                <w:bCs/>
              </w:rPr>
              <w:t>eviten acumulaciones peligrosas de polvo combustible o cargas electrostáticas.</w:t>
            </w:r>
          </w:p>
          <w:p w14:paraId="7FAFB47E" w14:textId="77777777" w:rsidR="00802DD6" w:rsidRDefault="00802DD6" w:rsidP="00494878">
            <w:pPr>
              <w:pStyle w:val="Prrafodelista"/>
              <w:numPr>
                <w:ilvl w:val="0"/>
                <w:numId w:val="5"/>
              </w:numPr>
            </w:pPr>
            <w:r w:rsidRPr="00802DD6">
              <w:t xml:space="preserve">Los </w:t>
            </w:r>
            <w:r w:rsidRPr="00802DD6">
              <w:rPr>
                <w:b/>
                <w:bCs/>
              </w:rPr>
              <w:t>trabajos que puedan generar fuentes de ignición deben estar controlados</w:t>
            </w:r>
            <w:r w:rsidRPr="00802DD6">
              <w:t xml:space="preserve"> mediante procedimientos específicos y autorización previa cuando proceda. </w:t>
            </w:r>
          </w:p>
          <w:p w14:paraId="48AEC666" w14:textId="028B2F70" w:rsidR="00494878" w:rsidRPr="00802DD6" w:rsidRDefault="00802DD6" w:rsidP="00494878">
            <w:pPr>
              <w:pStyle w:val="Prrafodelista"/>
              <w:numPr>
                <w:ilvl w:val="0"/>
                <w:numId w:val="5"/>
              </w:numPr>
              <w:rPr>
                <w:b/>
                <w:bCs/>
              </w:rPr>
            </w:pPr>
            <w:r w:rsidRPr="00802DD6">
              <w:t xml:space="preserve">Los </w:t>
            </w:r>
            <w:r w:rsidRPr="00802DD6">
              <w:rPr>
                <w:b/>
                <w:bCs/>
              </w:rPr>
              <w:t>equipos</w:t>
            </w:r>
            <w:r w:rsidRPr="00802DD6">
              <w:t xml:space="preserve"> destinados a zonas clasificadas deben ser </w:t>
            </w:r>
            <w:r w:rsidRPr="00802DD6">
              <w:rPr>
                <w:b/>
                <w:bCs/>
              </w:rPr>
              <w:t>adecuados al tipo de atmósfera explosiva, categoría de zona y condiciones de uso.</w:t>
            </w:r>
          </w:p>
          <w:p w14:paraId="75E926B4" w14:textId="4087ADE0" w:rsidR="00494878" w:rsidRDefault="00802DD6" w:rsidP="00494878">
            <w:pPr>
              <w:pStyle w:val="Prrafodelista"/>
              <w:numPr>
                <w:ilvl w:val="0"/>
                <w:numId w:val="5"/>
              </w:numPr>
            </w:pPr>
            <w:r w:rsidRPr="00802DD6">
              <w:t xml:space="preserve">Los </w:t>
            </w:r>
            <w:r w:rsidRPr="00802DD6">
              <w:rPr>
                <w:b/>
                <w:bCs/>
              </w:rPr>
              <w:t>equipos deben seleccionarse</w:t>
            </w:r>
            <w:r w:rsidRPr="00802DD6">
              <w:t xml:space="preserve"> teniendo en cuenta el </w:t>
            </w:r>
            <w:r w:rsidRPr="00802DD6">
              <w:rPr>
                <w:b/>
                <w:bCs/>
              </w:rPr>
              <w:t>riesgo existente</w:t>
            </w:r>
            <w:r w:rsidRPr="00802DD6">
              <w:t xml:space="preserve"> y la frecuencia de aparición de atmósferas explosivas</w:t>
            </w:r>
            <w:r w:rsidR="00494878">
              <w:t>.</w:t>
            </w:r>
          </w:p>
          <w:p w14:paraId="10206897" w14:textId="77777777" w:rsidR="008729DB" w:rsidRDefault="008729DB" w:rsidP="00494878">
            <w:pPr>
              <w:pStyle w:val="Prrafodelista"/>
              <w:numPr>
                <w:ilvl w:val="0"/>
                <w:numId w:val="5"/>
              </w:numPr>
            </w:pPr>
            <w:r w:rsidRPr="008729DB">
              <w:t xml:space="preserve">Se deben disponer </w:t>
            </w:r>
            <w:r w:rsidRPr="008729DB">
              <w:rPr>
                <w:b/>
                <w:bCs/>
              </w:rPr>
              <w:t>sistemas de ventilación, detección, alarma, corte automático, inertización, aislamiento o supresión</w:t>
            </w:r>
            <w:r w:rsidRPr="008729DB">
              <w:t xml:space="preserve"> cuando sean necesarios para limitar las consecuencias de una explosión. </w:t>
            </w:r>
          </w:p>
          <w:p w14:paraId="576D7C31" w14:textId="35E160B8" w:rsidR="00494878" w:rsidRDefault="008729DB" w:rsidP="00494878">
            <w:pPr>
              <w:pStyle w:val="Prrafodelista"/>
              <w:numPr>
                <w:ilvl w:val="0"/>
                <w:numId w:val="5"/>
              </w:numPr>
            </w:pPr>
            <w:r w:rsidRPr="008729DB">
              <w:t xml:space="preserve">Las </w:t>
            </w:r>
            <w:r w:rsidRPr="008729DB">
              <w:rPr>
                <w:b/>
                <w:bCs/>
              </w:rPr>
              <w:t>instalaciones eléctricas</w:t>
            </w:r>
            <w:r w:rsidRPr="008729DB">
              <w:t xml:space="preserve"> ubicadas en zonas clasificadas deben estar </w:t>
            </w:r>
            <w:r w:rsidRPr="008729DB">
              <w:rPr>
                <w:b/>
                <w:bCs/>
              </w:rPr>
              <w:t>diseñadas, instaladas, revisadas y mantenidas</w:t>
            </w:r>
            <w:r w:rsidRPr="008729DB">
              <w:t xml:space="preserve"> conforme a los requisitos aplicables para este tipo de zonas</w:t>
            </w:r>
            <w:r w:rsidR="00494878">
              <w:t>.</w:t>
            </w:r>
          </w:p>
          <w:p w14:paraId="6D8E7665" w14:textId="37EEFE7F" w:rsidR="00494878" w:rsidRDefault="00F21780" w:rsidP="00494878">
            <w:pPr>
              <w:pStyle w:val="Prrafodelista"/>
              <w:numPr>
                <w:ilvl w:val="0"/>
                <w:numId w:val="5"/>
              </w:numPr>
            </w:pPr>
            <w:r w:rsidRPr="00F21780">
              <w:t xml:space="preserve">Las zonas clasificadas deben estar </w:t>
            </w:r>
            <w:r w:rsidRPr="00F21780">
              <w:rPr>
                <w:b/>
                <w:bCs/>
              </w:rPr>
              <w:t>debidamente señalizadas</w:t>
            </w:r>
            <w:r w:rsidRPr="00F21780">
              <w:t xml:space="preserve"> con la indicación de riesgo de atmósfera explosiva</w:t>
            </w:r>
            <w:r w:rsidR="00494878">
              <w:t>.</w:t>
            </w:r>
          </w:p>
          <w:p w14:paraId="32C763BD" w14:textId="264A0801" w:rsidR="00F21780" w:rsidRPr="00F21780" w:rsidRDefault="00F21780" w:rsidP="00494878">
            <w:pPr>
              <w:pStyle w:val="Prrafodelista"/>
              <w:numPr>
                <w:ilvl w:val="0"/>
                <w:numId w:val="5"/>
              </w:numPr>
              <w:rPr>
                <w:b/>
                <w:bCs/>
              </w:rPr>
            </w:pPr>
            <w:r>
              <w:t>E</w:t>
            </w:r>
            <w:r w:rsidRPr="00F21780">
              <w:t xml:space="preserve">l acceso a zonas clasificadas </w:t>
            </w:r>
            <w:r w:rsidRPr="00F21780">
              <w:rPr>
                <w:b/>
                <w:bCs/>
              </w:rPr>
              <w:t xml:space="preserve">debe limitarse al personal autorizado, informado y formado. </w:t>
            </w:r>
          </w:p>
          <w:p w14:paraId="1ACDD283" w14:textId="0773A619" w:rsidR="00494878" w:rsidRPr="001325EF" w:rsidRDefault="001325EF" w:rsidP="00494878">
            <w:pPr>
              <w:pStyle w:val="Prrafodelista"/>
              <w:numPr>
                <w:ilvl w:val="0"/>
                <w:numId w:val="5"/>
              </w:numPr>
            </w:pPr>
            <w:r w:rsidRPr="001325EF">
              <w:t xml:space="preserve">Se deben establecer </w:t>
            </w:r>
            <w:r w:rsidRPr="001325EF">
              <w:rPr>
                <w:b/>
                <w:bCs/>
              </w:rPr>
              <w:t>normas de trabajo específicas</w:t>
            </w:r>
            <w:r w:rsidRPr="001325EF">
              <w:t xml:space="preserve"> para zonas con riesgo de atmósfera explosiva, incluyendo prohibiciones, condiciones de acceso, uso de equipos y control de actividades.</w:t>
            </w:r>
          </w:p>
          <w:p w14:paraId="70CAF870" w14:textId="2CD4C93F" w:rsidR="00494878" w:rsidRPr="001325EF" w:rsidRDefault="001325EF" w:rsidP="00494878">
            <w:pPr>
              <w:pStyle w:val="Prrafodelista"/>
              <w:numPr>
                <w:ilvl w:val="0"/>
                <w:numId w:val="5"/>
              </w:numPr>
              <w:rPr>
                <w:b/>
                <w:bCs/>
              </w:rPr>
            </w:pPr>
            <w:r w:rsidRPr="001325EF">
              <w:t xml:space="preserve">Se debe mantener una limpieza regular para </w:t>
            </w:r>
            <w:r w:rsidRPr="001325EF">
              <w:rPr>
                <w:b/>
                <w:bCs/>
              </w:rPr>
              <w:t>evitar acumulaciones de polvo combustible en suelos, estructuras, equipos, conductos o superficies</w:t>
            </w:r>
            <w:r w:rsidR="00494878" w:rsidRPr="001325EF">
              <w:rPr>
                <w:b/>
                <w:bCs/>
              </w:rPr>
              <w:t>.</w:t>
            </w:r>
          </w:p>
          <w:p w14:paraId="754EDBE0" w14:textId="77777777" w:rsidR="005E0C10" w:rsidRDefault="0075462A" w:rsidP="005E0C10">
            <w:pPr>
              <w:pStyle w:val="Prrafodelista"/>
              <w:numPr>
                <w:ilvl w:val="0"/>
                <w:numId w:val="5"/>
              </w:numPr>
            </w:pPr>
            <w:r w:rsidRPr="0075462A">
              <w:t xml:space="preserve">Se deben disponer </w:t>
            </w:r>
            <w:r w:rsidRPr="0075462A">
              <w:rPr>
                <w:b/>
                <w:bCs/>
              </w:rPr>
              <w:t>procedimientos definidos para trabajos en zonas clasificadas</w:t>
            </w:r>
            <w:r w:rsidRPr="0075462A">
              <w:t>, especialmente en tareas de limpieza, mantenimiento, reparación, soldadura o trabajos en caliente</w:t>
            </w:r>
            <w:r w:rsidR="00494878">
              <w:t>.</w:t>
            </w:r>
          </w:p>
          <w:p w14:paraId="70766630" w14:textId="77777777" w:rsidR="0075462A" w:rsidRDefault="0075462A" w:rsidP="005E0C10">
            <w:pPr>
              <w:pStyle w:val="Prrafodelista"/>
              <w:numPr>
                <w:ilvl w:val="0"/>
                <w:numId w:val="5"/>
              </w:numPr>
            </w:pPr>
            <w:r w:rsidRPr="0075462A">
              <w:t xml:space="preserve">Las personas trabajadoras que accedan a zonas con riesgo de atmósfera explosiva deben recibir </w:t>
            </w:r>
            <w:r w:rsidRPr="0075462A">
              <w:rPr>
                <w:b/>
                <w:bCs/>
              </w:rPr>
              <w:t>formación e información específica</w:t>
            </w:r>
            <w:r w:rsidRPr="0075462A">
              <w:t xml:space="preserve"> sobre los riesgos existentes y las medidas preventivas aplicables</w:t>
            </w:r>
            <w:r w:rsidR="00520793">
              <w:t>.</w:t>
            </w:r>
          </w:p>
          <w:p w14:paraId="2F0EF1A3" w14:textId="77777777" w:rsidR="00520793" w:rsidRPr="00520793" w:rsidRDefault="00520793" w:rsidP="005E0C10">
            <w:pPr>
              <w:pStyle w:val="Prrafodelista"/>
              <w:numPr>
                <w:ilvl w:val="0"/>
                <w:numId w:val="5"/>
              </w:numPr>
            </w:pPr>
            <w:r w:rsidRPr="00520793">
              <w:t xml:space="preserve">Se debe </w:t>
            </w:r>
            <w:r w:rsidRPr="00520793">
              <w:rPr>
                <w:b/>
                <w:bCs/>
              </w:rPr>
              <w:t>informar</w:t>
            </w:r>
            <w:r w:rsidRPr="00520793">
              <w:t xml:space="preserve"> sobre las </w:t>
            </w:r>
            <w:r w:rsidRPr="00520793">
              <w:rPr>
                <w:b/>
                <w:bCs/>
              </w:rPr>
              <w:t>normas de acceso, señalización, uso de equipos</w:t>
            </w:r>
            <w:r w:rsidRPr="00520793">
              <w:t xml:space="preserve"> adecuados, prohibición de fuentes de ignición y </w:t>
            </w:r>
            <w:r w:rsidRPr="00520793">
              <w:rPr>
                <w:b/>
                <w:bCs/>
              </w:rPr>
              <w:t>actuación ante emergencias, incidentes o alarmas.</w:t>
            </w:r>
          </w:p>
          <w:p w14:paraId="1D2D0D71" w14:textId="77777777" w:rsidR="00520793" w:rsidRDefault="00430A89" w:rsidP="005E0C10">
            <w:pPr>
              <w:pStyle w:val="Prrafodelista"/>
              <w:numPr>
                <w:ilvl w:val="0"/>
                <w:numId w:val="5"/>
              </w:numPr>
            </w:pPr>
            <w:r w:rsidRPr="00430A89">
              <w:lastRenderedPageBreak/>
              <w:t xml:space="preserve">Se deben establecer </w:t>
            </w:r>
            <w:r w:rsidRPr="00430A89">
              <w:rPr>
                <w:b/>
                <w:bCs/>
              </w:rPr>
              <w:t>instrucciones escritas o procedimientos de actuación</w:t>
            </w:r>
            <w:r w:rsidRPr="00430A89">
              <w:t xml:space="preserve"> ante incidentes, fugas, derrames, acumulaciones de polvo, fallos de ventilación o alarmas en zonas clasificadas.</w:t>
            </w:r>
          </w:p>
          <w:p w14:paraId="4AC10C4A" w14:textId="77777777" w:rsidR="00430A89" w:rsidRDefault="00430A89" w:rsidP="005E0C10">
            <w:pPr>
              <w:pStyle w:val="Prrafodelista"/>
              <w:numPr>
                <w:ilvl w:val="0"/>
                <w:numId w:val="5"/>
              </w:numPr>
            </w:pPr>
            <w:r w:rsidRPr="00430A89">
              <w:t xml:space="preserve">En situaciones de </w:t>
            </w:r>
            <w:r w:rsidRPr="00430A89">
              <w:rPr>
                <w:b/>
                <w:bCs/>
              </w:rPr>
              <w:t>concurrencia empresarial</w:t>
            </w:r>
            <w:r w:rsidRPr="00430A89">
              <w:t>, se deben coordinar las actividades preventivas cuando empresas externas o contratistas intervengan en zonas con riesgo de atmósfera explosiva</w:t>
            </w:r>
          </w:p>
          <w:p w14:paraId="638CD72C" w14:textId="77777777" w:rsidR="004D3344" w:rsidRDefault="004D3344" w:rsidP="005E0C10">
            <w:pPr>
              <w:pStyle w:val="Prrafodelista"/>
              <w:numPr>
                <w:ilvl w:val="0"/>
                <w:numId w:val="5"/>
              </w:numPr>
            </w:pPr>
            <w:r w:rsidRPr="004D3344">
              <w:t>La coordinación debe incluir i</w:t>
            </w:r>
            <w:r w:rsidRPr="004D3344">
              <w:rPr>
                <w:b/>
                <w:bCs/>
              </w:rPr>
              <w:t>nformación sobre zonas clasificadas, normas de acceso, equipos permitidos, permisos de trabajo, medidas de emergencia y control de fuentes de ignición</w:t>
            </w:r>
            <w:r w:rsidRPr="004D3344">
              <w:t>.</w:t>
            </w:r>
          </w:p>
          <w:p w14:paraId="57767BBF" w14:textId="77777777" w:rsidR="004D3344" w:rsidRDefault="00880D83" w:rsidP="005E0C10">
            <w:pPr>
              <w:pStyle w:val="Prrafodelista"/>
              <w:numPr>
                <w:ilvl w:val="0"/>
                <w:numId w:val="5"/>
              </w:numPr>
            </w:pPr>
            <w:r w:rsidRPr="00880D83">
              <w:t xml:space="preserve">Los </w:t>
            </w:r>
            <w:r w:rsidRPr="00880D83">
              <w:rPr>
                <w:b/>
                <w:bCs/>
              </w:rPr>
              <w:t>equipos utilizados</w:t>
            </w:r>
            <w:r w:rsidRPr="00880D83">
              <w:t xml:space="preserve"> en zonas ATEX deben </w:t>
            </w:r>
            <w:r w:rsidRPr="00880D83">
              <w:rPr>
                <w:b/>
                <w:bCs/>
              </w:rPr>
              <w:t>inspeccionarse y mantenerse</w:t>
            </w:r>
            <w:r w:rsidRPr="00880D83">
              <w:t xml:space="preserve"> siguiendo las instrucciones del fabricante y la normativa técnica aplicable</w:t>
            </w:r>
            <w:r w:rsidR="002454B0">
              <w:t>.</w:t>
            </w:r>
          </w:p>
          <w:p w14:paraId="3148CAE3" w14:textId="77777777" w:rsidR="002454B0" w:rsidRDefault="002454B0" w:rsidP="005E0C10">
            <w:pPr>
              <w:pStyle w:val="Prrafodelista"/>
              <w:numPr>
                <w:ilvl w:val="0"/>
                <w:numId w:val="5"/>
              </w:numPr>
            </w:pPr>
            <w:r w:rsidRPr="002454B0">
              <w:t xml:space="preserve">Las </w:t>
            </w:r>
            <w:r w:rsidRPr="002454B0">
              <w:rPr>
                <w:b/>
                <w:bCs/>
              </w:rPr>
              <w:t>verificaciones iniciales y periódicas de las instalaciones deben documentarse y conservarse</w:t>
            </w:r>
            <w:r w:rsidRPr="002454B0">
              <w:t xml:space="preserve"> como parte de la documentación preventiva.</w:t>
            </w:r>
          </w:p>
          <w:p w14:paraId="2C93C018" w14:textId="45CEAF48" w:rsidR="002454B0" w:rsidRPr="00106D91" w:rsidRDefault="002454B0" w:rsidP="002454B0">
            <w:pPr>
              <w:pStyle w:val="Prrafodelista"/>
              <w:numPr>
                <w:ilvl w:val="0"/>
                <w:numId w:val="5"/>
              </w:numPr>
            </w:pPr>
            <w:r w:rsidRPr="002454B0">
              <w:t xml:space="preserve">El </w:t>
            </w:r>
            <w:r w:rsidRPr="002454B0">
              <w:rPr>
                <w:b/>
                <w:bCs/>
              </w:rPr>
              <w:t>Documento de Protección Contra Explosiones</w:t>
            </w:r>
            <w:r w:rsidRPr="002454B0">
              <w:t xml:space="preserve"> debe revisarse periódicamente y siempre que se produzcan modificaciones relevantes en sustancias, procesos, instalaciones, equipos, zonas clasificadas o medidas preventivas.</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2D861375" w14:textId="17FDEB32" w:rsidR="003F1FEE" w:rsidRDefault="003F1FEE" w:rsidP="003F1FEE">
      <w:pPr>
        <w:rPr>
          <w:b/>
          <w:bCs/>
          <w:sz w:val="20"/>
          <w:szCs w:val="20"/>
        </w:rPr>
      </w:pPr>
    </w:p>
    <w:p w14:paraId="0BA5411B" w14:textId="58E65955" w:rsidR="003F1FEE" w:rsidRDefault="003F1FEE" w:rsidP="003F1FEE">
      <w:pPr>
        <w:jc w:val="center"/>
        <w:rPr>
          <w:b/>
          <w:bCs/>
          <w:sz w:val="20"/>
          <w:szCs w:val="20"/>
        </w:rPr>
      </w:pPr>
    </w:p>
    <w:p w14:paraId="570A1112" w14:textId="77777777" w:rsidR="001518B7" w:rsidRDefault="001518B7" w:rsidP="003F1FEE">
      <w:pPr>
        <w:jc w:val="center"/>
        <w:rPr>
          <w:b/>
          <w:bCs/>
          <w:sz w:val="20"/>
          <w:szCs w:val="20"/>
        </w:rPr>
      </w:pPr>
    </w:p>
    <w:p w14:paraId="5DBF54DD" w14:textId="65F1FB02" w:rsidR="003F1FEE" w:rsidRDefault="003F1FEE" w:rsidP="003F1FEE">
      <w:pPr>
        <w:jc w:val="center"/>
        <w:rPr>
          <w:b/>
          <w:bCs/>
          <w:sz w:val="20"/>
          <w:szCs w:val="20"/>
        </w:rPr>
      </w:pPr>
    </w:p>
    <w:p w14:paraId="10279AFF" w14:textId="5D6B0856"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lastRenderedPageBreak/>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092F043E"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1518B7"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8B4D" w14:textId="77777777" w:rsidR="007D1D25" w:rsidRDefault="007D1D25" w:rsidP="008024C9">
      <w:pPr>
        <w:spacing w:after="0" w:line="240" w:lineRule="auto"/>
      </w:pPr>
      <w:r>
        <w:separator/>
      </w:r>
    </w:p>
  </w:endnote>
  <w:endnote w:type="continuationSeparator" w:id="0">
    <w:p w14:paraId="71951106" w14:textId="77777777" w:rsidR="007D1D25" w:rsidRDefault="007D1D25"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1616A20A"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447212">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1C876" w14:textId="77777777" w:rsidR="007D1D25" w:rsidRDefault="007D1D25" w:rsidP="008024C9">
      <w:pPr>
        <w:spacing w:after="0" w:line="240" w:lineRule="auto"/>
      </w:pPr>
      <w:r>
        <w:separator/>
      </w:r>
    </w:p>
  </w:footnote>
  <w:footnote w:type="continuationSeparator" w:id="0">
    <w:p w14:paraId="1B8FEA47" w14:textId="77777777" w:rsidR="007D1D25" w:rsidRDefault="007D1D25"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57809FF7" w:rsidR="00AF5080" w:rsidRPr="00AF5080" w:rsidRDefault="00CB7BB6" w:rsidP="00280690">
          <w:pPr>
            <w:jc w:val="left"/>
            <w:rPr>
              <w:i/>
              <w:iCs/>
            </w:rPr>
          </w:pPr>
          <w:r>
            <w:rPr>
              <w:i/>
              <w:iCs/>
            </w:rPr>
            <w:t>ATMÓSFERAS EXPLOSIVAS - ATEX</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4593056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077BE"/>
    <w:rsid w:val="00011752"/>
    <w:rsid w:val="00014731"/>
    <w:rsid w:val="00017D03"/>
    <w:rsid w:val="00023562"/>
    <w:rsid w:val="000248D9"/>
    <w:rsid w:val="000406B0"/>
    <w:rsid w:val="00040871"/>
    <w:rsid w:val="000410F4"/>
    <w:rsid w:val="00062ABE"/>
    <w:rsid w:val="000652C0"/>
    <w:rsid w:val="000677E0"/>
    <w:rsid w:val="0007475B"/>
    <w:rsid w:val="00074D70"/>
    <w:rsid w:val="00075252"/>
    <w:rsid w:val="00085D67"/>
    <w:rsid w:val="00092FC6"/>
    <w:rsid w:val="000933C3"/>
    <w:rsid w:val="00095A63"/>
    <w:rsid w:val="000A2D26"/>
    <w:rsid w:val="000A6315"/>
    <w:rsid w:val="000B2188"/>
    <w:rsid w:val="000B573D"/>
    <w:rsid w:val="000E59B4"/>
    <w:rsid w:val="000F0DE2"/>
    <w:rsid w:val="00102D63"/>
    <w:rsid w:val="001040BC"/>
    <w:rsid w:val="00106D91"/>
    <w:rsid w:val="00112FEF"/>
    <w:rsid w:val="00123EAC"/>
    <w:rsid w:val="001259E6"/>
    <w:rsid w:val="001325EF"/>
    <w:rsid w:val="00146797"/>
    <w:rsid w:val="00151682"/>
    <w:rsid w:val="001518B7"/>
    <w:rsid w:val="0016295B"/>
    <w:rsid w:val="00165C03"/>
    <w:rsid w:val="0017186E"/>
    <w:rsid w:val="00172B7C"/>
    <w:rsid w:val="00172F73"/>
    <w:rsid w:val="00182648"/>
    <w:rsid w:val="00183873"/>
    <w:rsid w:val="00186661"/>
    <w:rsid w:val="001A01DB"/>
    <w:rsid w:val="001A0E88"/>
    <w:rsid w:val="001A1DC4"/>
    <w:rsid w:val="001B0AE6"/>
    <w:rsid w:val="001B699E"/>
    <w:rsid w:val="001C31B2"/>
    <w:rsid w:val="001C7D1F"/>
    <w:rsid w:val="001D05FF"/>
    <w:rsid w:val="001D1737"/>
    <w:rsid w:val="001D3318"/>
    <w:rsid w:val="001D4067"/>
    <w:rsid w:val="001E1950"/>
    <w:rsid w:val="001E4BEE"/>
    <w:rsid w:val="001E5211"/>
    <w:rsid w:val="001F05BD"/>
    <w:rsid w:val="001F4375"/>
    <w:rsid w:val="001F5A71"/>
    <w:rsid w:val="00215F0C"/>
    <w:rsid w:val="002203C8"/>
    <w:rsid w:val="0024002F"/>
    <w:rsid w:val="0024394A"/>
    <w:rsid w:val="002454B0"/>
    <w:rsid w:val="002639DA"/>
    <w:rsid w:val="0027177E"/>
    <w:rsid w:val="00271BA4"/>
    <w:rsid w:val="00280690"/>
    <w:rsid w:val="002A1DCB"/>
    <w:rsid w:val="002B0DCA"/>
    <w:rsid w:val="002B72D6"/>
    <w:rsid w:val="002C1BD2"/>
    <w:rsid w:val="002D3E91"/>
    <w:rsid w:val="002D42D5"/>
    <w:rsid w:val="002E0A62"/>
    <w:rsid w:val="002E5A27"/>
    <w:rsid w:val="002F1119"/>
    <w:rsid w:val="003122F3"/>
    <w:rsid w:val="00315C4A"/>
    <w:rsid w:val="003309C3"/>
    <w:rsid w:val="00331FCC"/>
    <w:rsid w:val="0034028F"/>
    <w:rsid w:val="003521AE"/>
    <w:rsid w:val="00376817"/>
    <w:rsid w:val="0038763B"/>
    <w:rsid w:val="003876EB"/>
    <w:rsid w:val="003A282A"/>
    <w:rsid w:val="003A37DD"/>
    <w:rsid w:val="003B568C"/>
    <w:rsid w:val="003D50AF"/>
    <w:rsid w:val="003D75A0"/>
    <w:rsid w:val="003E269B"/>
    <w:rsid w:val="003E32A9"/>
    <w:rsid w:val="003E407B"/>
    <w:rsid w:val="003E634D"/>
    <w:rsid w:val="003F1FEE"/>
    <w:rsid w:val="003F48CA"/>
    <w:rsid w:val="003F7C16"/>
    <w:rsid w:val="004000BA"/>
    <w:rsid w:val="00401E6C"/>
    <w:rsid w:val="004037AE"/>
    <w:rsid w:val="004145DC"/>
    <w:rsid w:val="004164FE"/>
    <w:rsid w:val="004224D6"/>
    <w:rsid w:val="00430A89"/>
    <w:rsid w:val="00435CDC"/>
    <w:rsid w:val="00447212"/>
    <w:rsid w:val="00450936"/>
    <w:rsid w:val="00453FD1"/>
    <w:rsid w:val="0045720E"/>
    <w:rsid w:val="00460BBB"/>
    <w:rsid w:val="004706D9"/>
    <w:rsid w:val="00471165"/>
    <w:rsid w:val="004714E0"/>
    <w:rsid w:val="00481805"/>
    <w:rsid w:val="00494878"/>
    <w:rsid w:val="004B54F4"/>
    <w:rsid w:val="004D022A"/>
    <w:rsid w:val="004D3344"/>
    <w:rsid w:val="004D3E7A"/>
    <w:rsid w:val="004D58A6"/>
    <w:rsid w:val="004D7D2C"/>
    <w:rsid w:val="004E2D9E"/>
    <w:rsid w:val="004E4F0B"/>
    <w:rsid w:val="004E6AEF"/>
    <w:rsid w:val="004F3594"/>
    <w:rsid w:val="004F6FC7"/>
    <w:rsid w:val="00500800"/>
    <w:rsid w:val="00500833"/>
    <w:rsid w:val="00501F82"/>
    <w:rsid w:val="0050514B"/>
    <w:rsid w:val="00514D7B"/>
    <w:rsid w:val="0051723C"/>
    <w:rsid w:val="00520793"/>
    <w:rsid w:val="0052089E"/>
    <w:rsid w:val="005260E6"/>
    <w:rsid w:val="005507CB"/>
    <w:rsid w:val="00555C82"/>
    <w:rsid w:val="005561DA"/>
    <w:rsid w:val="0056354D"/>
    <w:rsid w:val="00563701"/>
    <w:rsid w:val="005704D3"/>
    <w:rsid w:val="00571913"/>
    <w:rsid w:val="005739E5"/>
    <w:rsid w:val="005811C1"/>
    <w:rsid w:val="00582553"/>
    <w:rsid w:val="00584150"/>
    <w:rsid w:val="00586747"/>
    <w:rsid w:val="00592356"/>
    <w:rsid w:val="00592682"/>
    <w:rsid w:val="005A61BB"/>
    <w:rsid w:val="005A6C8F"/>
    <w:rsid w:val="005A6FB8"/>
    <w:rsid w:val="005B1072"/>
    <w:rsid w:val="005B778A"/>
    <w:rsid w:val="005C05B6"/>
    <w:rsid w:val="005C1759"/>
    <w:rsid w:val="005C2AFF"/>
    <w:rsid w:val="005D1349"/>
    <w:rsid w:val="005D4835"/>
    <w:rsid w:val="005E0C10"/>
    <w:rsid w:val="005E733E"/>
    <w:rsid w:val="005F0CD1"/>
    <w:rsid w:val="005F2503"/>
    <w:rsid w:val="00602989"/>
    <w:rsid w:val="006067D7"/>
    <w:rsid w:val="00606907"/>
    <w:rsid w:val="00615D8D"/>
    <w:rsid w:val="00624ECF"/>
    <w:rsid w:val="00632D7D"/>
    <w:rsid w:val="00651948"/>
    <w:rsid w:val="006549A0"/>
    <w:rsid w:val="00664435"/>
    <w:rsid w:val="0067580B"/>
    <w:rsid w:val="00681745"/>
    <w:rsid w:val="006845DA"/>
    <w:rsid w:val="00685AA7"/>
    <w:rsid w:val="00690C11"/>
    <w:rsid w:val="006A1294"/>
    <w:rsid w:val="006B3575"/>
    <w:rsid w:val="006D443B"/>
    <w:rsid w:val="006E7F42"/>
    <w:rsid w:val="006F044D"/>
    <w:rsid w:val="006F11D6"/>
    <w:rsid w:val="006F7672"/>
    <w:rsid w:val="00705449"/>
    <w:rsid w:val="0071038A"/>
    <w:rsid w:val="00711841"/>
    <w:rsid w:val="00720BF2"/>
    <w:rsid w:val="00725933"/>
    <w:rsid w:val="0073019B"/>
    <w:rsid w:val="00735E1C"/>
    <w:rsid w:val="00735E41"/>
    <w:rsid w:val="00742AAA"/>
    <w:rsid w:val="00751731"/>
    <w:rsid w:val="0075462A"/>
    <w:rsid w:val="00763F77"/>
    <w:rsid w:val="00764157"/>
    <w:rsid w:val="00770B5F"/>
    <w:rsid w:val="007878E0"/>
    <w:rsid w:val="0078799D"/>
    <w:rsid w:val="00795CA5"/>
    <w:rsid w:val="007976FF"/>
    <w:rsid w:val="007A0890"/>
    <w:rsid w:val="007A237B"/>
    <w:rsid w:val="007A2BB7"/>
    <w:rsid w:val="007B0F24"/>
    <w:rsid w:val="007B6E8C"/>
    <w:rsid w:val="007C22B0"/>
    <w:rsid w:val="007D1D25"/>
    <w:rsid w:val="007D1F51"/>
    <w:rsid w:val="007E6EBD"/>
    <w:rsid w:val="007F2552"/>
    <w:rsid w:val="00801347"/>
    <w:rsid w:val="008024C9"/>
    <w:rsid w:val="00802DD6"/>
    <w:rsid w:val="00803A94"/>
    <w:rsid w:val="0083399B"/>
    <w:rsid w:val="008559E5"/>
    <w:rsid w:val="0086184E"/>
    <w:rsid w:val="00866144"/>
    <w:rsid w:val="0086697B"/>
    <w:rsid w:val="008678ED"/>
    <w:rsid w:val="00871496"/>
    <w:rsid w:val="00871B33"/>
    <w:rsid w:val="008729DB"/>
    <w:rsid w:val="00872BBB"/>
    <w:rsid w:val="008741E1"/>
    <w:rsid w:val="00875D88"/>
    <w:rsid w:val="00880D83"/>
    <w:rsid w:val="0088736F"/>
    <w:rsid w:val="0089128E"/>
    <w:rsid w:val="00892F2D"/>
    <w:rsid w:val="00897817"/>
    <w:rsid w:val="008B2754"/>
    <w:rsid w:val="008B4ADD"/>
    <w:rsid w:val="008B60C2"/>
    <w:rsid w:val="008C3FCA"/>
    <w:rsid w:val="008D011B"/>
    <w:rsid w:val="008D2633"/>
    <w:rsid w:val="008D3064"/>
    <w:rsid w:val="008D3FFE"/>
    <w:rsid w:val="008D670D"/>
    <w:rsid w:val="008E464E"/>
    <w:rsid w:val="008E6D9B"/>
    <w:rsid w:val="008F46A9"/>
    <w:rsid w:val="0090046A"/>
    <w:rsid w:val="00907800"/>
    <w:rsid w:val="009172DB"/>
    <w:rsid w:val="00926B59"/>
    <w:rsid w:val="009322FA"/>
    <w:rsid w:val="00933A94"/>
    <w:rsid w:val="00940657"/>
    <w:rsid w:val="00941606"/>
    <w:rsid w:val="009423D9"/>
    <w:rsid w:val="009602A7"/>
    <w:rsid w:val="00961F73"/>
    <w:rsid w:val="009721FD"/>
    <w:rsid w:val="009730EF"/>
    <w:rsid w:val="009731A6"/>
    <w:rsid w:val="009831F2"/>
    <w:rsid w:val="0099478B"/>
    <w:rsid w:val="0099788E"/>
    <w:rsid w:val="009A03C2"/>
    <w:rsid w:val="009A3C81"/>
    <w:rsid w:val="009A5237"/>
    <w:rsid w:val="009A5B36"/>
    <w:rsid w:val="009B6514"/>
    <w:rsid w:val="009B7C74"/>
    <w:rsid w:val="009B7D2F"/>
    <w:rsid w:val="009C6E12"/>
    <w:rsid w:val="009C7F1B"/>
    <w:rsid w:val="009D0999"/>
    <w:rsid w:val="009D2FE6"/>
    <w:rsid w:val="009E6864"/>
    <w:rsid w:val="009E6C30"/>
    <w:rsid w:val="009F1385"/>
    <w:rsid w:val="009F2852"/>
    <w:rsid w:val="00A03FE9"/>
    <w:rsid w:val="00A05D16"/>
    <w:rsid w:val="00A06919"/>
    <w:rsid w:val="00A1081E"/>
    <w:rsid w:val="00A127E5"/>
    <w:rsid w:val="00A14BC4"/>
    <w:rsid w:val="00A15B34"/>
    <w:rsid w:val="00A16FDE"/>
    <w:rsid w:val="00A2142F"/>
    <w:rsid w:val="00A24D29"/>
    <w:rsid w:val="00A405C3"/>
    <w:rsid w:val="00A604C8"/>
    <w:rsid w:val="00A63224"/>
    <w:rsid w:val="00A658F1"/>
    <w:rsid w:val="00A7495A"/>
    <w:rsid w:val="00A77A49"/>
    <w:rsid w:val="00A80633"/>
    <w:rsid w:val="00A84F7A"/>
    <w:rsid w:val="00A978B7"/>
    <w:rsid w:val="00AA7737"/>
    <w:rsid w:val="00AA7BB3"/>
    <w:rsid w:val="00AB0E0B"/>
    <w:rsid w:val="00AB1C0C"/>
    <w:rsid w:val="00AB50B9"/>
    <w:rsid w:val="00AB6ED1"/>
    <w:rsid w:val="00AD146A"/>
    <w:rsid w:val="00AD7CA7"/>
    <w:rsid w:val="00AE0E91"/>
    <w:rsid w:val="00AE23FC"/>
    <w:rsid w:val="00AF10B1"/>
    <w:rsid w:val="00AF5080"/>
    <w:rsid w:val="00AF738A"/>
    <w:rsid w:val="00B061D8"/>
    <w:rsid w:val="00B17E36"/>
    <w:rsid w:val="00B337EA"/>
    <w:rsid w:val="00B3438B"/>
    <w:rsid w:val="00B34A7C"/>
    <w:rsid w:val="00B40EE5"/>
    <w:rsid w:val="00B457D4"/>
    <w:rsid w:val="00B508EE"/>
    <w:rsid w:val="00B519E0"/>
    <w:rsid w:val="00B56302"/>
    <w:rsid w:val="00B668D4"/>
    <w:rsid w:val="00B77CB6"/>
    <w:rsid w:val="00B82478"/>
    <w:rsid w:val="00B92A76"/>
    <w:rsid w:val="00B9392D"/>
    <w:rsid w:val="00BC30A1"/>
    <w:rsid w:val="00BD0ACC"/>
    <w:rsid w:val="00BD49FA"/>
    <w:rsid w:val="00BD6039"/>
    <w:rsid w:val="00BE3C8E"/>
    <w:rsid w:val="00BF168B"/>
    <w:rsid w:val="00BF333D"/>
    <w:rsid w:val="00C02F08"/>
    <w:rsid w:val="00C27A2E"/>
    <w:rsid w:val="00C42260"/>
    <w:rsid w:val="00C44C6C"/>
    <w:rsid w:val="00C45E4B"/>
    <w:rsid w:val="00C51AF6"/>
    <w:rsid w:val="00C52900"/>
    <w:rsid w:val="00C76756"/>
    <w:rsid w:val="00C96B28"/>
    <w:rsid w:val="00C97A6C"/>
    <w:rsid w:val="00CA228E"/>
    <w:rsid w:val="00CA284C"/>
    <w:rsid w:val="00CB154A"/>
    <w:rsid w:val="00CB27CE"/>
    <w:rsid w:val="00CB7BB6"/>
    <w:rsid w:val="00CC61C1"/>
    <w:rsid w:val="00CD12EC"/>
    <w:rsid w:val="00CD5773"/>
    <w:rsid w:val="00CD7EB6"/>
    <w:rsid w:val="00CF3E77"/>
    <w:rsid w:val="00D021C3"/>
    <w:rsid w:val="00D1047F"/>
    <w:rsid w:val="00D26E92"/>
    <w:rsid w:val="00D308F6"/>
    <w:rsid w:val="00D7069C"/>
    <w:rsid w:val="00D7666B"/>
    <w:rsid w:val="00DA14B6"/>
    <w:rsid w:val="00DA4725"/>
    <w:rsid w:val="00DA684A"/>
    <w:rsid w:val="00DB34BA"/>
    <w:rsid w:val="00DB700E"/>
    <w:rsid w:val="00DB75A4"/>
    <w:rsid w:val="00DC323A"/>
    <w:rsid w:val="00DC3961"/>
    <w:rsid w:val="00DC4364"/>
    <w:rsid w:val="00DD32D2"/>
    <w:rsid w:val="00DD4406"/>
    <w:rsid w:val="00DE013F"/>
    <w:rsid w:val="00DE2443"/>
    <w:rsid w:val="00DE429C"/>
    <w:rsid w:val="00DF3215"/>
    <w:rsid w:val="00DF38E7"/>
    <w:rsid w:val="00DF3C35"/>
    <w:rsid w:val="00E01D3E"/>
    <w:rsid w:val="00E02644"/>
    <w:rsid w:val="00E049B5"/>
    <w:rsid w:val="00E2274D"/>
    <w:rsid w:val="00E2302D"/>
    <w:rsid w:val="00E4318F"/>
    <w:rsid w:val="00E45DB5"/>
    <w:rsid w:val="00E53D1E"/>
    <w:rsid w:val="00E640EA"/>
    <w:rsid w:val="00E93DB6"/>
    <w:rsid w:val="00E9483A"/>
    <w:rsid w:val="00EA0EE5"/>
    <w:rsid w:val="00EA2435"/>
    <w:rsid w:val="00EB5AF2"/>
    <w:rsid w:val="00EB7978"/>
    <w:rsid w:val="00EC09F2"/>
    <w:rsid w:val="00EC1C32"/>
    <w:rsid w:val="00ED79A4"/>
    <w:rsid w:val="00EE327D"/>
    <w:rsid w:val="00EE5672"/>
    <w:rsid w:val="00F0503F"/>
    <w:rsid w:val="00F1385D"/>
    <w:rsid w:val="00F21780"/>
    <w:rsid w:val="00F33319"/>
    <w:rsid w:val="00F4456B"/>
    <w:rsid w:val="00F4676A"/>
    <w:rsid w:val="00F471C3"/>
    <w:rsid w:val="00F508AB"/>
    <w:rsid w:val="00F567EE"/>
    <w:rsid w:val="00F56907"/>
    <w:rsid w:val="00F603C1"/>
    <w:rsid w:val="00F73BCE"/>
    <w:rsid w:val="00F74B9C"/>
    <w:rsid w:val="00FA1C99"/>
    <w:rsid w:val="00FA29C1"/>
    <w:rsid w:val="00FB07A4"/>
    <w:rsid w:val="00FB26F2"/>
    <w:rsid w:val="00FB323A"/>
    <w:rsid w:val="00FB401D"/>
    <w:rsid w:val="00FC0E3A"/>
    <w:rsid w:val="00FD0313"/>
    <w:rsid w:val="00FD601B"/>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184191EF-32A3-4C60-A566-06B797E6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seguridad-en-el-trabajo/atmosferas-explosiva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1867</TotalTime>
  <Pages>11</Pages>
  <Words>2694</Words>
  <Characters>14821</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17481</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376</cp:revision>
  <dcterms:created xsi:type="dcterms:W3CDTF">2026-05-19T07:14:00Z</dcterms:created>
  <dcterms:modified xsi:type="dcterms:W3CDTF">2026-09-21T08:57:00Z</dcterms:modified>
</cp:coreProperties>
</file>